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13 March 2019</w:t>
      </w:r>
    </w:p>
    <w:p>
      <w:pPr>
        <w:pStyle w:val="Heading1"/>
      </w:pPr>
      <w:r>
        <w:t xml:space="preserve">Australia Post divests shareholding in Aramex</w:t>
      </w:r>
    </w:p>
    <w:p>
      <w:r>
        <w:t xml:space="preserve">13 March 2019</w:t>
      </w:r>
    </w:p>
    <w:p>
      <w:r>
        <w:t xml:space="preserve">Australia Post has divested its 10.06% shareholding in Aramex PJSC (Aramex), a company listed on the Dubai Financial Market.</w:t>
      </w:r>
    </w:p>
    <w:p>
      <w:r>
        <w:t xml:space="preserve">As announced in our 2017-18 Annual Report, Australia Post made a decision to divest its Aramex shareholding following a review of its international strategy, completed during 2018.</w:t>
      </w:r>
    </w:p>
    <w:p>
      <w:r>
        <w:t xml:space="preserve">Australia Post's international growth strategy will continue to be supported by its wholly-owned business, Australia Post Global eCommerce Solutions (APG eCommerce Solutions), which has an established presence in key global eCommerce trade lanes, including Asia, the UK, Europe and the US.</w:t>
      </w:r>
    </w:p>
    <w:p>
      <w:r>
        <w:t xml:space="preserve">This business brings together the best of both postal and commercial solutions with a comprehensive suite of B2C cross-border shipping services and complements Australia Post&amp;rsquo;s joint venture with China Post, Sai Cheong Logistics.</w:t>
      </w:r>
    </w:p>
    <w:p>
      <w:r>
        <w:t xml:space="preserve">&amp;nbsp;</w:t>
      </w:r>
    </w:p>
    <w:p>
      <w:r>
        <w:t xml:space="preserve">&amp;nbsp;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2026-06-04T10:26:44.454Z</dcterms:created>
  <dcterms:modified xsi:type="dcterms:W3CDTF">2026-06-04T10:26:44.455Z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