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February 2019</w:t>
      </w:r>
    </w:p>
    <w:p>
      <w:pPr>
        <w:pStyle w:val="Heading1"/>
      </w:pPr>
      <w:r>
        <w:t xml:space="preserve">Australia Post reaches new agreement to protect our Community Licensed Post Offices</w:t>
      </w:r>
    </w:p>
    <w:p>
      <w:r>
        <w:t xml:space="preserve">15 February 2019</w:t>
      </w:r>
    </w:p>
    <w:p>
      <w:r>
        <w:t xml:space="preserve">Australia Post today announced it will invest an extra $34 million as part of a new agreement with Community Licensed Post Offices.</w:t>
      </w:r>
    </w:p>
    <w:p>
      <w:r>
        <w:t xml:space="preserve">This investment will provide our LPO partners with upgraded technology, in addition to increased payments for supporting the growth in parcels and financial services.</w:t>
      </w:r>
    </w:p>
    <w:p>
      <w:r>
        <w:t xml:space="preserve">The agreement also includes an increase to the safety-net minimum payment to protect our smallest and most vulnerable Community Post Offices in regional and rural Australia.</w:t>
      </w:r>
    </w:p>
    <w:p>
      <w:r>
        <w:t xml:space="preserve">The new payments follow a thorough independent payment review and consultation with licensee representative associations to better reflect the changing nature of Australia Post business conducted in 2800+ Licensed Post Offices.</w:t>
      </w:r>
    </w:p>
    <w:p>
      <w:r>
        <w:t xml:space="preserve">Australia Post Group Chief Executive Officer and Managing Director Christine Holgate said the new payment scheme is an important milestone in improving the way we pay our valued licensee partners.</w:t>
      </w:r>
    </w:p>
    <w:p>
      <w:r>
        <w:t xml:space="preserve">&amp;ldquo;I believe Licensed Post Office partners play an essential role in protecting and building the prosperity of communities across Australia, particularly in regional and rural Australia. This critical investment also acknowledges the importance of these hardworking small business owners to the future of Australia Post,&amp;rdquo; said Ms Holgate.</w:t>
      </w:r>
    </w:p>
    <w:p>
      <w:r>
        <w:t xml:space="preserve">The benefits of the new payment rates will be applied retrospectively to licensees from 1 January 2019.</w:t>
      </w:r>
    </w:p>
    <w:p>
      <w:r>
        <w:t xml:space="preserve">-ends-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2026-06-04T10:26:46.342Z</dcterms:created>
  <dcterms:modified xsi:type="dcterms:W3CDTF">2026-06-04T10:26:46.342Z</dcterms:modified>
</cp:coreProperties>
</file>

<file path=docProps/custom.xml><?xml version="1.0" encoding="utf-8"?>
<Properties xmlns="http://schemas.openxmlformats.org/officeDocument/2006/custom-properties" xmlns:vt="http://schemas.openxmlformats.org/officeDocument/2006/docPropsVTypes"/>
</file>