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10 January 2019</w:t>
      </w:r>
    </w:p>
    <w:p>
      <w:pPr>
        <w:pStyle w:val="Heading1"/>
      </w:pPr>
      <w:r>
        <w:t xml:space="preserve">Australia Post to divest its&amp;#160;share in MailPlus</w:t>
      </w:r>
    </w:p>
    <w:p>
      <w:r>
        <w:t xml:space="preserve">10 January 2019</w:t>
      </w:r>
    </w:p>
    <w:p>
      <w:r>
        <w:t xml:space="preserve">Australia Post today signed an agreement to divest its 75 per cent&amp;nbsp;shareholding in the&amp;nbsp;MailPlus&amp;nbsp;business to&amp;nbsp;MailPlusHolding Co Pty Ltd&amp;nbsp;owned and operated&amp;nbsp;by&amp;nbsp;MailPlus&amp;nbsp;Founder and Chief Executive Officer, Chris Burgess. &amp;nbsp;The Burgess Family Trust&amp;nbsp;currently holds the remaining 25 per centshareholding&amp;nbsp;in the&amp;nbsp;MailPlus&amp;nbsp;business.</w:t>
      </w:r>
    </w:p>
    <w:p>
      <w:r>
        <w:t xml:space="preserve">&amp;nbsp;</w:t>
      </w:r>
    </w:p>
    <w:p>
      <w:r>
        <w:t xml:space="preserve">Australia Post made&amp;nbsp;the&amp;nbsp;decision to divest&amp;nbsp;its&amp;nbsp;shareholding in&amp;nbsp;the&amp;nbsp;MailPlus&amp;nbsp;business, a franchise-based pick-up and delivery service for small and medium sized businesses,&amp;nbsp;after assessing the business as no longer core to Australia Post&amp;rsquo;s strategic objectives.</w:t>
      </w:r>
    </w:p>
    <w:p>
      <w:r>
        <w:t xml:space="preserve">&amp;nbsp;</w:t>
      </w:r>
    </w:p>
    <w:p>
      <w:r>
        <w:t xml:space="preserve">The&amp;nbsp;sale&amp;nbsp;is expected to be completed by 31 January 2019&amp;nbsp;with the change of ownership taking effect from that date.&amp;nbsp;The divestment is not expected to have a material impact on Australia Post&amp;rsquo;s financial statements&amp;nbsp;for the&amp;nbsp;financial&amp;nbsp;year ending 30 June 2019.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2026-06-04T10:26:49.135Z</dcterms:created>
  <dcterms:modified xsi:type="dcterms:W3CDTF">2026-06-04T10:26:49.135Z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