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November 2019</w:t>
      </w:r>
    </w:p>
    <w:p>
      <w:pPr>
        <w:pStyle w:val="Heading1"/>
      </w:pPr>
      <w:r>
        <w:t xml:space="preserve">Community grants to deliver grassroots programs nationally</w:t>
      </w:r>
    </w:p>
    <w:p>
      <w:r>
        <w:t xml:space="preserve">04 November 2019</w:t>
      </w:r>
    </w:p>
    <w:p>
      <w:r>
        <w:t xml:space="preserve">Australia Post’s 2019 Community Grants program has awarded almost $500,000 to 75 not-for-profit community organisations across Australia for the delivery of grassroots community projects, with the majority of recipients in rural and regional areas.</w:t>
      </w:r>
    </w:p>
    <w:p>
      <w:r>
        <w:t xml:space="preserve">Australia Post Head of Community, Nicky Tracey said the grants are aimed at strengthening Australian communities by assisting groups who are best positioned to address local needs.</w:t>
      </w:r>
    </w:p>
    <w:p>
      <w:r>
        <w:t xml:space="preserve">“The Australia Post Community Grants program has given us the opportunity to fund projects that connect individuals and their local communities.”</w:t>
      </w:r>
    </w:p>
    <w:p>
      <w:r>
        <w:t xml:space="preserve">“Each recipient organisation embodies the aim of the program which is to provide targeted support for what matters most to local communities. We believe that people working together have the greatest impact, and we are proud to provide funding to activities that help people connect, reduce barriers to participate in community life, or develop skills and leadership capability to strengthen community networks,” said Ms Tracey.</w:t>
      </w:r>
    </w:p>
    <w:p>
      <w:r>
        <w:t xml:space="preserve">The 2019 Australia Post Community Grants support local initiatives by providing funding of up to $10,000. Examples of projects funded include:</w:t>
      </w:r>
    </w:p>
    <w:p>
      <w:r>
        <w:t xml:space="preserve">ACT: Capital Woodlands and Wetlands Conservation Association will use the funding to support activities that engage with culturally displaced Indigenous women who have recently been through the justice system. Activities will be coordinated with Indigenous owned businesses and will seek to maintain or reinvigorate cultural ties to country to aid recovery and reduce reoffending.</w:t>
      </w:r>
    </w:p>
    <w:p>
      <w:r>
        <w:t xml:space="preserve">New South Wales: Taree Basketball Association Inc will use funding to set up a wheelchair basketball program, including the purchase of specialised chairs. The Taree Wheelchair Basketball League is the first ongoing sporting program for people with a disability in the rural mid-north coast NSW community, and provides access to specially designed wheelchairs for players to participate and engage in a social and inclusive activity.</w:t>
      </w:r>
    </w:p>
    <w:p>
      <w:r>
        <w:t xml:space="preserve">Northern Territory: The Gurrumul Yunupingu Foundation will use its funding to support the Indigenous Children Song Project, an initiative of East Arnhem and Gunbalanya communities in which Indigenous children's songs are translated into English and performed by local community members to be shared with a wider audience, promoting cultural understanding.</w:t>
      </w:r>
    </w:p>
    <w:p>
      <w:r>
        <w:t xml:space="preserve">Queensland: The Townsville Intercultural Centre will use its funding to help local culturally diverse communities learn about preparing for and accessing services in the event of a natural disaster, addressing a need identified after the recent Townsville flooding.</w:t>
      </w:r>
    </w:p>
    <w:p>
      <w:r>
        <w:t xml:space="preserve">South Australia: Careship Coorong’s funding will go towards the Silver Trail project supporting people living with dementia. Silver Trail provides safe and supported activities on a rural South Australian social care farm, increasing the well-being and self-esteem of participants and supporting inclusive community activities.</w:t>
      </w:r>
    </w:p>
    <w:p>
      <w:r>
        <w:t xml:space="preserve">Tasmania: Rural Alive and Well’s funding will go towards workshops which provide Adult Mental Health First Aid training, bringing people together to improve their wellbeing and strengthen communities.</w:t>
      </w:r>
    </w:p>
    <w:p>
      <w:r>
        <w:t xml:space="preserve">Victoria: Community Four will use funding to support the Hazara Women Learning to Drive program – a community-led initiative which provides Hazara women with the opportunity to achieve a VicRoads Learners Permit. The program is seen as a key step in enabling the participants' independence and removing barriers to engaging with the wider community.</w:t>
      </w:r>
    </w:p>
    <w:p>
      <w:r>
        <w:t xml:space="preserve">Western Australia: Edmund Rice Centre WA Inc.’s grant will support its Youth Leadership and Creative Arts Program providing professional development and training to young leaders from Aboriginal and Torres Strait Islander and culturally and linguistically diverse backgrounds.</w:t>
      </w:r>
    </w:p>
    <w:p>
      <w:r>
        <w:t xml:space="preserve">For a full list of 2019 recipients please visit auspost.com.au/grants.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2026-06-04T10:26:28.491Z</dcterms:created>
  <dcterms:modified xsi:type="dcterms:W3CDTF">2026-06-04T10:26:28.491Z</dcterms:modified>
</cp:coreProperties>
</file>

<file path=docProps/custom.xml><?xml version="1.0" encoding="utf-8"?>
<Properties xmlns="http://schemas.openxmlformats.org/officeDocument/2006/custom-properties" xmlns:vt="http://schemas.openxmlformats.org/officeDocument/2006/docPropsVTypes"/>
</file>