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22 October 2020</w:t>
      </w:r>
    </w:p>
    <w:p>
      <w:pPr>
        <w:pStyle w:val="Heading1"/>
      </w:pPr>
      <w:r>
        <w:t xml:space="preserve">Statement attributable to Australia Post Chair, Lucio Di Bartolomeo</w:t>
      </w:r>
    </w:p>
    <w:p>
      <w:r>
        <w:t xml:space="preserve">23 October 2020</w:t>
      </w:r>
    </w:p>
    <w:p>
      <w:r>
        <w:t xml:space="preserve">Budget Estimates 2020-21 Hearing Appearance</w:t>
      </w:r>
    </w:p>
    <w:p>
      <w:r>
        <w:t xml:space="preserve">On 22 October 2020 Australia Post representatives appeared before the Senate Environment and Communications Legislation Committee in relation to Budget Estimates 2020-21.</w:t>
      </w:r>
    </w:p>
    <w:p>
      <w:r>
        <w:t xml:space="preserve">During that appearance, Australia Post&amp;rsquo;s Group Chief Executive Officer &amp;amp; Managing Director provided answers to questions relating to the purchase of four gifts for four Australia Post employees. Since the appearance, I have become aware of further details of the purchase and wish, as a matter of urgency, to clarify that the purchase was of four items costing $7,000, $4,750, $4,400 and $3,800 totalling $19,950 (including GST), and was made in November 2018.</w:t>
      </w:r>
    </w:p>
    <w:p>
      <w:r>
        <w:t xml:space="preserve">Australia Post will continue to participate transparently in Budget Estimates 2020-21 processes, including to review the proof Hansard transcript of evidence when it is made available and to respond to questions on notice, and will &amp;ndash; as reflected in my public statement yesterday &amp;ndash; also fully cooperate with the recently announced investigation to be conducted by shareholder departments.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2026-06-04T10:26:04.745Z</dcterms:created>
  <dcterms:modified xsi:type="dcterms:W3CDTF">2026-06-04T10:26:04.745Z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