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September 2020</w:t>
      </w:r>
    </w:p>
    <w:p>
      <w:pPr>
        <w:pStyle w:val="Heading1"/>
      </w:pPr>
      <w:r>
        <w:t xml:space="preserve">Statement attributable to Lucio Di Bartolomeo, Chairman, Australia Post</w:t>
      </w:r>
    </w:p>
    <w:p>
      <w:r>
        <w:t xml:space="preserve">02 September 2020</w:t>
      </w:r>
    </w:p>
    <w:p>
      <w:r>
        <w:t xml:space="preserve">Today the Australia Post Board determined that no short-term incentive (STI) payment would be made to the Executive Team for Financial Year 2020.&amp;nbsp; I have every confidence in the Executive Team and their commitment to excellent performance in the year ahead.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2026-06-04T10:26:09.638Z</dcterms:created>
  <dcterms:modified xsi:type="dcterms:W3CDTF">2026-06-04T10:26:09.638Z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