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October 2020</w:t>
      </w:r>
    </w:p>
    <w:p>
      <w:pPr>
        <w:pStyle w:val="Heading1"/>
      </w:pPr>
      <w:r>
        <w:t xml:space="preserve">Statement from the Australia Post Chairman, Lucio Di Bartolomeo</w:t>
      </w:r>
    </w:p>
    <w:p>
      <w:r>
        <w:t xml:space="preserve">22 October 2020</w:t>
      </w:r>
    </w:p>
    <w:p>
      <w:r>
        <w:t xml:space="preserve">The Australia Post Board and management team will fully cooperate with the recently announced investigation to be conducted by shareholder departments.</w:t>
      </w:r>
    </w:p>
    <w:p>
      <w:r>
        <w:t xml:space="preserve">We remain committed to delivering for our important stakeholders &amp;ndash; our people, our Post Office partners, our customers and the community.</w:t>
      </w:r>
    </w:p>
    <w:p>
      <w:r>
        <w:t xml:space="preserve">Group CEO &amp;amp; Managing Director Christine Holgate will stand aside during the investigation. During this time, Rodney Boys, Chief Financial Officer will be acting in the role.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2026-06-04T10:26:05.362Z</dcterms:created>
  <dcterms:modified xsi:type="dcterms:W3CDTF">2026-06-04T10:26:05.362Z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