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04 February 2022</w:t>
      </w:r>
    </w:p>
    <w:p>
      <w:pPr>
        <w:pStyle w:val="Heading1"/>
      </w:pPr>
      <w:r>
        <w:t xml:space="preserve">Statement following VCAT decision</w:t>
      </w:r>
    </w:p>
    <w:p>
      <w:r>
        <w:t xml:space="preserve">04 February 2022</w:t>
      </w:r>
    </w:p>
    <w:p>
      <w:r>
        <w:t xml:space="preserve">Attributable to an Australia Post spokesperson:</w:t>
      </w:r>
    </w:p>
    <w:p>
      <w:r>
        <w:t xml:space="preserve">We regret the situation that occurred with our customer in Eltham. It is not reflective of the work we do every day to deliver for people all over Australia.</w:t>
      </w:r>
    </w:p>
    <w:p>
      <w:r>
        <w:t xml:space="preserve">We know there are frustrations with carding, and are working with our teams to reduce the need for it. We always strive to do better.</w:t>
      </w:r>
    </w:p>
    <w:p>
      <w:r>
        <w:t xml:space="preserve">Over the course of the past two years, Australia Post has had some of its busiest days ever, and consistently delivered 2 million parcels every week day in December. We will always work hard to service our community.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2026-06-04T10:25:35.083Z</dcterms:created>
  <dcterms:modified xsi:type="dcterms:W3CDTF">2026-06-04T10:25:35.083Z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