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04 November 2024</w:t>
      </w:r>
    </w:p>
    <w:p>
      <w:pPr>
        <w:pStyle w:val="Heading1"/>
      </w:pPr>
      <w:r>
        <w:t xml:space="preserve">Australia Post urges councils to take strong action as dog attacks on Posties continue</w:t>
      </w:r>
    </w:p>
    <w:p>
      <w:r>
        <w:t xml:space="preserve">04 November 2024</w:t>
      </w:r>
    </w:p>
    <w:p>
      <w:r>
        <w:t xml:space="preserve">Australia Post is calling on local councils to adopt stricter measures in response to the alarming number of dog-related incidents involving Posties. New data has revealed more than 49 Posties a week have fallen victim to dog-related incidents in the past six months - an average of ten per day - with fears these numbers will continue to rise in the lead up to holiday season1.</w:t>
      </w:r>
    </w:p>
    <w:p>
      <w:r>
        <w:t xml:space="preserve">In the past six months, 1,277 dog-related incidents have occurred nationwide, despite Australia Post’s pleas for dog owners to take responsibility for their pets. As a result, Australia Post is calling on local councils to enforce restrictions and local animal management laws to ensure the safety of Posties and the community.</w:t>
      </w:r>
    </w:p>
    <w:p>
      <w:r>
        <w:t xml:space="preserve">The new data highlights a clear and consistent trend of aggressive behaviour, with 1 in 3 dog-related incidents continuing to occur at the customer’s front door during parcel deliveries, increasing the risk to Posties ahead of the very busy upcoming Black Friday sales and Christmas season.</w:t>
      </w:r>
    </w:p>
    <w:p>
      <w:r>
        <w:t xml:space="preserve">To help mitigate continued threats, all Posties are equipped with a hazard device to log aggressive dog behaviour, with more serious cases alerted to councils. There are currently more than 29,000 active dog-related hazards nationally, and many are expected to stay unresolved.</w:t>
      </w:r>
    </w:p>
    <w:p>
      <w:r>
        <w:t xml:space="preserve">Australia Post General Manager of Safety and Wellbeing, Rod Maule, stressed the importance of councils implementing stronger measures to prevent dog attacks, including increased monitoring and enforcement of animal management laws.</w:t>
      </w:r>
    </w:p>
    <w:p>
      <w:r>
        <w:t xml:space="preserve">“Dog attacks remain one of the highest safety concerns for our people. As we head into our peak season and delivery volumes increase, there is a serious concern for the physical and mental wellbeing of our Posties, particularly around dogs.</w:t>
      </w:r>
    </w:p>
    <w:p>
      <w:r>
        <w:t xml:space="preserve">“Aggressive or dangerous dogs are reported to council and local rangers, however too often we see risks are not properly mitigated. This often leads to multiple instances of the same dog repeating aggressive behaviour, which can result in a severe attack on our Postie.</w:t>
      </w:r>
    </w:p>
    <w:p>
      <w:r>
        <w:t xml:space="preserve">“As the holiday season approaches, dog owners need to be mindful that all visitors, including Posties, should have safe access to the front door without being stopped by a dog. Dog ownership comes with responsibilities, and we need council support to effectively enforce laws and regulations to ensure the safety of our people.”</w:t>
      </w:r>
    </w:p>
    <w:p>
      <w:r>
        <w:t xml:space="preserve">Australia Post data reveals that Queensland continues to be the worst state in the country for dog-related incidents on Posties, and the following delivery areas have been identified as having the highest number of incidents nationally:</w:t>
      </w:r>
    </w:p>
    <w:p>
      <w:r>
        <w:t xml:space="preserve">Australia Post actively engages with local councils and continues to work with relevant state and territory Government Departments to advocate for changes to animal management laws to ensure they are fit for purpose and work to protect our team members.</w:t>
      </w:r>
    </w:p>
    <w:p>
      <w:r>
        <w:t xml:space="preserve">Posties will not make a delivery if it is unsafe for them to do so and will cease deliveries to a customer’s home until the danger is resolved.</w:t>
      </w:r>
    </w:p>
    <w:p>
      <w:r>
        <w:t xml:space="preserve">AUSTRALIA POST’S TIPS FOR DOG OWNERS:</w:t>
      </w:r>
    </w:p>
    <w:p>
      <w:r>
        <w:t xml:space="preserve">ENDS</w:t>
      </w:r>
    </w:p>
    <w:p>
      <w:r>
        <w:t xml:space="preserve">Media contact:</w:t>
      </w:r>
    </w:p>
    <w:p>
      <w:r>
        <w:t xml:space="preserve">Morgan Griffin, Public Relations Advisor, Australia Post</w:t>
      </w:r>
    </w:p>
    <w:p>
      <w:r>
        <w:t xml:space="preserve">M: 0459 703 383</w:t>
      </w:r>
    </w:p>
    <w:p>
      <w:r>
        <w:t xml:space="preserve">E: morgan.griffin5@auspost.com.au</w:t>
      </w:r>
    </w:p>
    <w:p>
      <w:r>
        <w:t xml:space="preserve">About Australia Post:</w:t>
      </w:r>
    </w:p>
    <w:p>
      <w:r>
        <w:t xml:space="preserve">As Australia’s postal service for more than 215 years, we’re at the heart of every community. Last financial year we delivered more than 2.5 billion items to 12.7 million delivery points. Australia Post has one of the largest retail networks nationally, with more than 4,000 Post Offices. Australia Post employs people of all ages, genders, and abilities in our extended workforce of more than 64,000 team members, reflective of the diverse communities we operate in. We are proud to be included in the inaugural Indigenous Employment Index with 3 per cent of our workforce identifying as Aboriginal or Torres Strait Islander and we are one of the largest Australian employers to be certified as a Disability Confident Recruiter.</w:t>
      </w:r>
    </w:p>
    <w:p>
      <w:r>
        <w:t xml:space="preserve">[1] Australia Post Dog Safety data, 30 April 2024 to 30 October 2024</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2026-06-04T10:24:00.318Z</dcterms:created>
  <dcterms:modified xsi:type="dcterms:W3CDTF">2026-06-04T10:24:00.318Z</dcterms:modified>
</cp:coreProperties>
</file>

<file path=docProps/custom.xml><?xml version="1.0" encoding="utf-8"?>
<Properties xmlns="http://schemas.openxmlformats.org/officeDocument/2006/custom-properties" xmlns:vt="http://schemas.openxmlformats.org/officeDocument/2006/docPropsVTypes"/>
</file>