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19 May 2025</w:t>
      </w:r>
    </w:p>
    <w:p>
      <w:pPr>
        <w:pStyle w:val="Heading1"/>
      </w:pPr>
      <w:r>
        <w:t xml:space="preserve">Building for the future: Australia Post’s multi-million-dollar investment in regional NSW</w:t>
      </w:r>
    </w:p>
    <w:p>
      <w:r>
        <w:t xml:space="preserve">19 May 2025</w:t>
      </w:r>
    </w:p>
    <w:p>
      <w:r>
        <w:t xml:space="preserve">Australia Post is expanding its commitment to regional Australia with a major infrastructure investment across New South Wales, announcing the development of six new greenfield sites in Tumut, Leeton, Casino, Deniliquin, Forbes and Byron Bay. These sites will bolster capacity to support parcel volume growth and improve service across rural and regional communities.</w:t>
      </w:r>
    </w:p>
    <w:p>
      <w:r>
        <w:t xml:space="preserve">These purpose-built facilities are designed to boost parcel processing capability – handling between 900 parcels to 2,200 parcels per day – and enhance service across rural and regional communities as well as improving operational safety and efficiency.</w:t>
      </w:r>
    </w:p>
    <w:p>
      <w:r>
        <w:t xml:space="preserve">Sustainability is a key focus of the expansion, with all sites featuring 50kW rooftop solar power generation, and a number also investing in rainwater harvesting and EV charging capability.</w:t>
      </w:r>
    </w:p>
    <w:p>
      <w:r>
        <w:t xml:space="preserve">Australia Post General Manager Network Development &amp;amp; Support Services, Shane Plant said the investment reflects Australia Post’s commitment to improving services for regional communities across Australia.</w:t>
      </w:r>
    </w:p>
    <w:p>
      <w:r>
        <w:t xml:space="preserve">“In New South Wales, we’ve seen online purchases increase by 2.8% year-on-year, with data indicating that 82% of NSW households are now shopping online1 . As regional areas increasingly depend on eCommerce due to fewer physical retail offerings, these purpose-built sites will enable Australia Post to meet the growing parcel demand in these regions.</w:t>
      </w:r>
    </w:p>
    <w:p>
      <w:r>
        <w:t xml:space="preserve">“Beyond speed and efficiency, we’re focused on providing safer workplaces for our team members and building environmentally responsible infrastructure that can serve communities well unto the future,” Mr. Plant said.</w:t>
      </w:r>
    </w:p>
    <w:p>
      <w:r>
        <w:t xml:space="preserve">The details and timelines for each of these new sites are as follows:</w:t>
      </w:r>
    </w:p>
    <w:p>
      <w:r>
        <w:t xml:space="preserve">As part of this regional expansion a brownfield site has also been secured in Narrandera. Further brownfield sites in Cooma and Ballina are in lease negotiations.</w:t>
      </w:r>
    </w:p>
    <w:p>
      <w:r>
        <w:t xml:space="preserve">This investment in regional NSW is part of a broader commitment to support growth in regional Australia, with additional sites to be rolled out across all regional Australian States &amp;amp; Territories.</w:t>
      </w:r>
    </w:p>
    <w:p>
      <w:r>
        <w:t xml:space="preserve">1 Australia Post Group parcels data, 2018 to 2024</w:t>
      </w:r>
    </w:p>
    <w:p>
      <w:r>
        <w:t xml:space="preserve">Media contact:</w:t>
      </w:r>
    </w:p>
    <w:p>
      <w:r>
        <w:t xml:space="preserve">Kathleen Carrero,&amp;nbsp;M: 0467 734 995 E: kathleen.carrero@auspost.com.au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2026-06-04T10:23:48.790Z</dcterms:created>
  <dcterms:modified xsi:type="dcterms:W3CDTF">2026-06-04T10:23:48.790Z</dcterms:modified>
</cp:coreProperties>
</file>

<file path=docProps/custom.xml><?xml version="1.0" encoding="utf-8"?>
<Properties xmlns="http://schemas.openxmlformats.org/officeDocument/2006/custom-properties" xmlns:vt="http://schemas.openxmlformats.org/officeDocument/2006/docPropsVTypes"/>
</file>