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November 2019</w:t>
      </w:r>
    </w:p>
    <w:p>
      <w:pPr>
        <w:pStyle w:val="Heading1"/>
      </w:pPr>
      <w:r>
        <w:t xml:space="preserve">Australia Post welcomes ACCC&amp;#39;s response to proposed 10 cent stamp price increase</w:t>
      </w:r>
    </w:p>
    <w:p>
      <w:r>
        <w:t xml:space="preserve">14 November 2019</w:t>
      </w:r>
    </w:p>
    <w:p>
      <w:r>
        <w:t xml:space="preserve">Australia Post welcomes the view of the Australian Competition and Consumer Commission (ACCC) that it does not object to a proposed increase in the Basic Postage Rate (BPR) from $1.00 to $1.10.</w:t>
      </w:r>
    </w:p>
    <w:p>
      <w:r>
        <w:t xml:space="preserve">Australia Post will now progress the required processes associated with the proposed increases to take effect on 2 January 2020.</w:t>
      </w:r>
    </w:p>
    <w:p>
      <w:r>
        <w:t xml:space="preserve">This will be the first increase in four years and cost the average household less than $1.50 per year.</w:t>
      </w:r>
    </w:p>
    <w:p>
      <w:r>
        <w:t xml:space="preserve">There will be no change to the price of concession stamps at 60 cents, available to 5.7 million Australians, including pensioners and veterans. Similarly, the 65 cent seasonal greeting card stamps will not change.</w:t>
      </w:r>
    </w:p>
    <w:p>
      <w:r>
        <w:t xml:space="preserve">The increase is subject to regulatory processes which Australia Post expects to be completed over the coming weeks.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2026-06-04T10:26:26.908Z</dcterms:created>
  <dcterms:modified xsi:type="dcterms:W3CDTF">2026-06-04T10:26:26.908Z</dcterms:modified>
</cp:coreProperties>
</file>

<file path=docProps/custom.xml><?xml version="1.0" encoding="utf-8"?>
<Properties xmlns="http://schemas.openxmlformats.org/officeDocument/2006/custom-properties" xmlns:vt="http://schemas.openxmlformats.org/officeDocument/2006/docPropsVTypes"/>
</file>