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November 2022</w:t>
      </w:r>
    </w:p>
    <w:p>
      <w:pPr>
        <w:pStyle w:val="Heading1"/>
      </w:pPr>
      <w:r>
        <w:t xml:space="preserve">Australia Post welcomes ACCC’s response to proposed 10-cent stamp price increase</w:t>
      </w:r>
    </w:p>
    <w:p>
      <w:r>
        <w:t xml:space="preserve">11 November 2022</w:t>
      </w:r>
    </w:p>
    <w:p>
      <w:r>
        <w:t xml:space="preserve">Australia Post welcomes the Australian Competition and Consumer Commission’s (ACCC) view that it has no objection to a proposed increase to reserved ordinary letter services, including a change in the Basic Postage Rate (BPR) from $1.10 to $1.20. Importantly, this change will not affect the $0.60 concession stamps (purchased in booklets of five) or the $0.65 Christmas and seasonal greeting cards rate.</w:t>
      </w:r>
    </w:p>
    <w:p>
      <w:r>
        <w:t xml:space="preserve">Australia Post will now lodge a formal application with the ACCC for its final decision and undertake further steps for the proposed increases to take effect on 3 January 2023.</w:t>
      </w:r>
    </w:p>
    <w:p>
      <w:r>
        <w:t xml:space="preserve">This will be the first increase to the BPR since 2020. The proposed price changes will support a sustainable letters service and will also help Australia Post maintain its extensive Post Office network, in particular Licensed Post Offices, in rural and remote areas.  As a result of this change, it is estimated that households will pay on average an extra $1.50 per year.</w:t>
      </w:r>
    </w:p>
    <w:p>
      <w:r>
        <w:t xml:space="preserve">Charities will continue to be able to access our heavily discounted Charity Mail service while business and government customers, who send more than 95 per cent of all mail in Australia, can still access a broad range of discounted services.</w:t>
      </w:r>
    </w:p>
    <w:p>
      <w:r>
        <w:t xml:space="preserve">Australia Post is an entirely self-funded business that pays taxes and dividends ($660.6 million in FY22), receives no ongoing government funding, additional payments or concessions, and is impacted by the same inflationary pressures as every other business.</w:t>
      </w:r>
    </w:p>
    <w:p>
      <w:r>
        <w:t xml:space="preserve">ENDS</w:t>
      </w:r>
    </w:p>
    <w:p>
      <w:r>
        <w:t xml:space="preserve">Media enquiries, please contact:</w:t>
      </w:r>
    </w:p>
    <w:p>
      <w:r>
        <w:t xml:space="preserve">Lara Evans, Head of Media Relations</w:t>
      </w:r>
    </w:p>
    <w:p>
      <w:r>
        <w:t xml:space="preserve">M: 0419 226 449</w:t>
      </w:r>
    </w:p>
    <w:p>
      <w:r>
        <w:t xml:space="preserve">E: Lara.Evans13@auspost.com.au</w:t>
      </w:r>
    </w:p>
    <w:p>
      <w:r>
        <w:t xml:space="preserve">Katherine Perry, Senior Media Manager</w:t>
      </w:r>
    </w:p>
    <w:p>
      <w:r>
        <w:t xml:space="preserve">M: 0411 247 629</w:t>
      </w:r>
    </w:p>
    <w:p>
      <w:r>
        <w:t xml:space="preserve">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2026-06-04T10:25:18.487Z</dcterms:created>
  <dcterms:modified xsi:type="dcterms:W3CDTF">2026-06-04T10:25:18.487Z</dcterms:modified>
</cp:coreProperties>
</file>

<file path=docProps/custom.xml><?xml version="1.0" encoding="utf-8"?>
<Properties xmlns="http://schemas.openxmlformats.org/officeDocument/2006/custom-properties" xmlns:vt="http://schemas.openxmlformats.org/officeDocument/2006/docPropsVTypes"/>
</file>