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June 2025</w:t>
      </w:r>
    </w:p>
    <w:p>
      <w:pPr>
        <w:pStyle w:val="Heading1"/>
      </w:pPr>
      <w:r>
        <w:t xml:space="preserve">ACCC final view on stamp price increase</w:t>
      </w:r>
    </w:p>
    <w:p>
      <w:r>
        <w:t xml:space="preserve">23 June 2025</w:t>
      </w:r>
    </w:p>
    <w:p>
      <w:r>
        <w:t xml:space="preserve">Australia Post welcomes the Australian Competition and Consumer Commission’s (ACCC) final view it has no objection to a proposed price increase for reserved ordinary letter services, including a change in the Basic Postage Rate (BPR) from $1.50 to $1.70.</w:t>
      </w:r>
    </w:p>
    <w:p>
      <w:r>
        <w:t xml:space="preserve">The proposed increase will take effect on 17 July 2025, subject to finalisation of the remaining steps.</w:t>
      </w:r>
    </w:p>
    <w:p>
      <w:r>
        <w:t xml:space="preserve">Australia Post recognises the cost-of-living challenges Australians are facing so concession and seasonal greeting stamps will remain at 60 and 65 cents respectively.</w:t>
      </w:r>
    </w:p>
    <w:p>
      <w:r>
        <w:t xml:space="preserve">The BPR increase will help Australia Post address the rising cost of delivering letters, with letter volumes now at a level not seen since the 1950s.</w:t>
      </w:r>
    </w:p>
    <w:p>
      <w:r>
        <w:t xml:space="preserve">Even with this increase, Australians will continue to have some of the lowest stamp prices in the OECD.</w:t>
      </w:r>
    </w:p>
    <w:p>
      <w:r>
        <w:t xml:space="preserve">Around 97% of letters are sent by government or business customers. Australian households only receive two letters on average each week and letter volumes are expected to halve in the next five years.</w:t>
      </w:r>
    </w:p>
    <w:p>
      <w:r>
        <w:t xml:space="preserve">The average household purchases five to six full-rate stamps each year and the proposed increase would cost them about $1.20 extra per year.</w:t>
      </w:r>
    </w:p>
    <w:p>
      <w:r>
        <w:t xml:space="preserve">Charities will continue to be able to access a heavily discounted Charity Mail service.</w:t>
      </w:r>
    </w:p>
    <w:p>
      <w:r>
        <w:t xml:space="preserve">Australia Post is a self-funded government business enterprise that does not receive any government funding and is focussed on addressing its financial challenges in a responsible way.</w:t>
      </w:r>
    </w:p>
    <w:p>
      <w:r>
        <w:t xml:space="preserve">Media contact:Lara Evans, Head of Media Relations, Australia PostM: 0419 226 449E: lara.evans13@auspost.com.au</w:t>
      </w:r>
    </w:p>
    <w:p>
      <w:r>
        <w:t xml:space="preserve">About Australia Post:As Australia’s postal service for more than 215 years, we’re at the heart of every community. Last financial year we delivered more than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2026-06-04T10:23:45.427Z</dcterms:created>
  <dcterms:modified xsi:type="dcterms:W3CDTF">2026-06-04T10:23:45.427Z</dcterms:modified>
</cp:coreProperties>
</file>

<file path=docProps/custom.xml><?xml version="1.0" encoding="utf-8"?>
<Properties xmlns="http://schemas.openxmlformats.org/officeDocument/2006/custom-properties" xmlns:vt="http://schemas.openxmlformats.org/officeDocument/2006/docPropsVTypes"/>
</file>