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16 March 2023</w:t>
      </w:r>
    </w:p>
    <w:p>
      <w:pPr>
        <w:pStyle w:val="Heading1"/>
      </w:pPr>
      <w:r>
        <w:t xml:space="preserve">Deadly Science</w:t>
      </w:r>
    </w:p>
    <w:p>
      <w:r>
        <w:t xml:space="preserve">16 March 2023</w:t>
      </w:r>
    </w:p>
    <w:p>
      <w:r>
        <w:t xml:space="preserve">Australia Post partners with DeadlyScience to support budding First Nations scientists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2026-06-04T10:25:07.588Z</dcterms:created>
  <dcterms:modified xsi:type="dcterms:W3CDTF">2026-06-04T10:25:07.588Z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