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14 March 2024</w:t>
      </w:r>
    </w:p>
    <w:p>
      <w:pPr>
        <w:pStyle w:val="Heading1"/>
      </w:pPr>
      <w:r>
        <w:t xml:space="preserve">Australia Post boosts investment with $50m facility in Queensland</w:t>
      </w:r>
    </w:p>
    <w:p>
      <w:r>
        <w:t xml:space="preserve">14 March 2024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2026-06-04T10:24:30.544Z</dcterms:created>
  <dcterms:modified xsi:type="dcterms:W3CDTF">2026-06-04T10:24:30.544Z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