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18 March 2024</w:t>
      </w:r>
    </w:p>
    <w:p>
      <w:pPr>
        <w:pStyle w:val="Heading1"/>
      </w:pPr>
      <w:r>
        <w:t xml:space="preserve">Video - Baby Boomers splurge online while younger generations cut back and opt for budget buys</w:t>
      </w:r>
    </w:p>
    <w:p>
      <w:r>
        <w:t xml:space="preserve">18 March 2024</w:t>
      </w:r>
    </w:p>
    <w:p>
      <w:r>
        <w:t xml:space="preserve">Download video</w:t>
      </w:r>
    </w:p>
    <w:p>
      <w:r>
        <w:t xml:space="preserve">Media contact:</w:t>
      </w:r>
    </w:p>
    <w:p>
      <w:r>
        <w:t xml:space="preserve">Anna Garcia, M: 0409 402 966 E:Anna.garcia3@auspost.com.au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r>
        <w:t xml:space="preserve">Discover More Publications
Stay informed with Australia Post's latest reports, community stories, and industry insights.</w:t>
      </w:r>
    </w:p>
    <w:p>
      <w:r>
        <w:t xml:space="preserve">High resolution versions of these images are available for download in the sidebar panel.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2026-06-04T10:24:28.794Z</dcterms:created>
  <dcterms:modified xsi:type="dcterms:W3CDTF">2026-06-04T10:24:28.794Z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