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04 November 2024</w:t>
      </w:r>
    </w:p>
    <w:p>
      <w:pPr>
        <w:pStyle w:val="Heading1"/>
      </w:pPr>
      <w:r>
        <w:t xml:space="preserve">Video- Australia Post urges councils to take strong action as dog attacks on Posties continue</w:t>
      </w:r>
    </w:p>
    <w:p>
      <w:r>
        <w:t xml:space="preserve">04 November 2024</w:t>
      </w:r>
    </w:p>
    <w:p>
      <w:r>
        <w:t xml:space="preserve">Download video</w:t>
      </w:r>
    </w:p>
    <w:p>
      <w:r>
        <w:t xml:space="preserve">Discover More Publications
Stay informed with Australia Post's latest reports, community stories, and industry insights.</w:t>
      </w:r>
    </w:p>
    <w:p>
      <w:r>
        <w:t xml:space="preserve">High resolution versions of these images are available for download in the sidebar panel.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2026-06-04T10:23:59.917Z</dcterms:created>
  <dcterms:modified xsi:type="dcterms:W3CDTF">2026-06-04T10:23:59.917Z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