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23 July 2025</w:t>
      </w:r>
    </w:p>
    <w:p>
      <w:pPr>
        <w:pStyle w:val="Heading1"/>
      </w:pPr>
      <w:r>
        <w:t xml:space="preserve">Video- Rate cut anticipation fuels $19.2 billion EOFY online shopping surge</w:t>
      </w:r>
    </w:p>
    <w:p>
      <w:r>
        <w:t xml:space="preserve">23 July 2025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Morgan Griffin,&amp;nbsp;M: 0459 703 383&amp;nbsp;E: morgan.griffin5@auspost.com.au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2026-06-04T10:23:43.492Z</dcterms:created>
  <dcterms:modified xsi:type="dcterms:W3CDTF">2026-06-04T10:23:43.492Z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