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1 July 2026</w:t>
      </w:r>
    </w:p>
    <w:p>
      <w:pPr>
        <w:pStyle w:val="Heading1"/>
      </w:pPr>
      <w:r>
        <w:t xml:space="preserve">Australia Post reduces Fuel Surcharge for contract customers</w:t>
      </w:r>
    </w:p>
    <w:p>
      <w:r>
        <w:t xml:space="preserve">28 May 2026</w:t>
      </w:r>
    </w:p>
    <w:p>
      <w:r>
        <w:t xml:space="preserve">Australia Post has today advised its contract customers its Fuel Surcharge will decrease by 7.2 percentage points from 1 July 2026, reflecting recent movements in fuel-related costs.</w:t>
      </w:r>
    </w:p>
    <w:p>
      <w:r>
        <w:t xml:space="preserve">The Australia Post (domestic parcel sending contract) and StarTrack Courier Fuel Surcharge will decrease from 19.5% to 12.3% and the StarTrack Express and StarTrack Premium Fuel Surcharge will decrease from 30.2% to 23%.</w:t>
      </w:r>
    </w:p>
    <w:p>
      <w:r>
        <w:t xml:space="preserve">The Fuel Surcharge is a standard, industry-wide mechanism for recovering fuel costs and this reduction follows the recent stabilisation in fuel prices.</w:t>
      </w:r>
    </w:p>
    <w:p>
      <w:r>
        <w:t xml:space="preserve">It applies to around 17,000 contract or “account managed” customers, representing around 6% of Australia Post’s business customers, and does not apply to MyPost Business or retail customers.</w:t>
      </w:r>
    </w:p>
    <w:p>
      <w:r>
        <w:t xml:space="preserve">Australia Post is focused on balancing responsible cost recovery with affordability for customers, while continuing to support its delivery partners.</w:t>
      </w:r>
    </w:p>
    <w:p>
      <w:r>
        <w:t xml:space="preserve">For more information on the updated fuel surcharge, please visit the Australia Post and StarTrack websites.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2026-06-04T10:17:43.147Z</dcterms:created>
  <dcterms:modified xsi:type="dcterms:W3CDTF">2026-06-04T10:17:43.147Z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