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 May 2026</w:t>
      </w:r>
    </w:p>
    <w:p>
      <w:pPr>
        <w:pStyle w:val="Heading1"/>
      </w:pPr>
      <w:r>
        <w:t xml:space="preserve">Australia Post statement regarding fuel surcharge - 1 May 2026</w:t>
      </w:r>
    </w:p>
    <w:p>
      <w:r>
        <w:t xml:space="preserve">01 May 2026</w:t>
      </w:r>
    </w:p>
    <w:p>
      <w:r>
        <w:t xml:space="preserve">Along with many other businesses, Australia Post is regularly reviewing and updating its fuel surcharge to help recover the recent significant increase in fuel costs.</w:t>
      </w:r>
    </w:p>
    <w:p>
      <w:r>
        <w:t xml:space="preserve">From the beginning of June, the Australia Post (domestic parcel sending) and StarTrack Courier Fuel Surcharge will increase from 12 per cent to 19.5 per cent and the StarTrack Express and StarTrack Premium Fuel Surcharge will increase from 22.7 per cent to 30.2 per cent.</w:t>
      </w:r>
    </w:p>
    <w:p>
      <w:r>
        <w:t xml:space="preserve">Our focus is on balancing cost recovery with affordability for customers, while also supporting our delivery partners. We continue to operate in very challenging conditions, and this necessary adjustment reflects the higher fuel costs we’re incurring in an environment where prices remain volatile.</w:t>
      </w:r>
    </w:p>
    <w:p>
      <w:r>
        <w:t xml:space="preserve">This change impacts parcel sending for contract customers, with no change for MyPost Business or retail customers. There is no change for letters or unaddressed mail (UMS).</w:t>
      </w:r>
    </w:p>
    <w:p>
      <w:r>
        <w:t xml:space="preserve">For more information on the updated fuel surcharge, please visit the Australia Post and StarTrack websites.</w:t>
      </w:r>
    </w:p>
    <w:p>
      <w:r>
        <w:t xml:space="preserve">Media contact:Katherine Perry, Senior Media Manager, Australia PostM: 0411 247 629              E: katherine.perry6@auspost.com.au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2026-06-04T10:17:43.445Z</dcterms:created>
  <dcterms:modified xsi:type="dcterms:W3CDTF">2026-06-04T10:17:43.445Z</dcterms:modified>
</cp:coreProperties>
</file>

<file path=docProps/custom.xml><?xml version="1.0" encoding="utf-8"?>
<Properties xmlns="http://schemas.openxmlformats.org/officeDocument/2006/custom-properties" xmlns:vt="http://schemas.openxmlformats.org/officeDocument/2006/docPropsVTypes"/>
</file>