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May 2026</w:t>
      </w:r>
    </w:p>
    <w:p>
      <w:pPr>
        <w:pStyle w:val="Heading1"/>
      </w:pPr>
      <w:r>
        <w:t xml:space="preserve">Australia Post welcomes ACCC preliminary view on proposed stamp price increase</w:t>
      </w:r>
    </w:p>
    <w:p>
      <w:r>
        <w:t xml:space="preserve">25 May 2026</w:t>
      </w:r>
    </w:p>
    <w:p>
      <w:r>
        <w:t xml:space="preserve">Australia Post welcomes the Australian Competition and Consumer Commission’s (ACCC) preliminary view to not object to the proposed price increase for reserved ordinary letter services, including a change in the Basic Postage Rate (BPR) from $1.70 to $1.85.</w:t>
      </w:r>
    </w:p>
    <w:p>
      <w:r>
        <w:t xml:space="preserve">In December 2025, Australia Post lodged a draft Price Notification with the ACCC proposing the increase to help address losses stemming from the ongoing decline in letter volumes, which dropped a further 11.7% in FY25 (excluding election activities) and are at levels not seen in Australia since the late 1930s.</w:t>
      </w:r>
    </w:p>
    <w:p>
      <w:r>
        <w:t xml:space="preserve">Currently, fewer than 3% of letters are sent by consumers, with the majority mailed by businesses and government agencies. As customers increasingly shift to digital alternatives, letter volumes continue to fall. This letter decline is being experienced by international postal operators worldwide.</w:t>
      </w:r>
    </w:p>
    <w:p>
      <w:r>
        <w:t xml:space="preserve">On average, Australian households purchase five full rate stamps each year and the cost impact of the proposed increase is expected to be an extra 75 cents annually. Australians will continue to have some of the lowest stamp prices in the OECD.</w:t>
      </w:r>
    </w:p>
    <w:p>
      <w:r>
        <w:t xml:space="preserve">To support customers, concession and seasonal greeting stamps will remain unchanged at 60 cents and 65 cents respectively, the same prices they have been for more than a decade. Australia Post has also increased the number of concession stamps eligible customers can purchase each year, from 50 to 75.</w:t>
      </w:r>
    </w:p>
    <w:p>
      <w:r>
        <w:t xml:space="preserve">The ACCC has commenced a further round of consultation, which will conclude on a date to be confirmed. Australia Post will continue to engage with the ACCC as part of the consultation process.</w:t>
      </w:r>
    </w:p>
    <w:p>
      <w:r>
        <w:t xml:space="preserve">At the end of the consultation period, and pending no objection from the ACCC, Australia Post will lodge a formal application with the ACCC. Any price changes will be communicated to customers at least 30 days in advance.</w:t>
      </w:r>
    </w:p>
    <w:p>
      <w:r>
        <w:t xml:space="preserve">Australia Post remains committed to maintaining a sustainable, accessible Letters service for all Australians, while adapting to the ongoing structural decline in letter volumes.</w:t>
      </w:r>
    </w:p>
    <w:p>
      <w:r>
        <w:t xml:space="preserve">ENDS</w:t>
      </w:r>
    </w:p>
    <w:p>
      <w:r>
        <w:t xml:space="preserve">Media contact:Katherine Perry, Senior Media Manager, Australia PostM: 0411 247 629E: katherine.perry6@auspost.com.au</w:t>
      </w:r>
    </w:p>
    <w:p>
      <w:r>
        <w:t xml:space="preserve">About Australia Post: As Australia’s postal service for more than 216 years, we’re at the heart of every community. Last financial year we delivered 2.2 billion items to 12.8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2026-06-04T10:17:44.913Z</dcterms:created>
  <dcterms:modified xsi:type="dcterms:W3CDTF">2026-06-04T10:17:44.913Z</dcterms:modified>
</cp:coreProperties>
</file>

<file path=docProps/custom.xml><?xml version="1.0" encoding="utf-8"?>
<Properties xmlns="http://schemas.openxmlformats.org/officeDocument/2006/custom-properties" xmlns:vt="http://schemas.openxmlformats.org/officeDocument/2006/docPropsVTypes"/>
</file>