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Enterprise Architecture Principles Template</w:t>
      </w:r>
    </w:p>
    <w:p>
      <w:pPr>
        <w:pStyle w:val="Heading1"/>
      </w:pPr>
      <w:r>
        <w:t>1. General Information</w:t>
      </w:r>
    </w:p>
    <w:p>
      <w:r>
        <w:t>• Document Owner: EA Team</w:t>
        <w:br/>
        <w:t>• Version: 1.0</w:t>
        <w:br/>
        <w:t>• Last Updated: 2025-09-02</w:t>
        <w:br/>
        <w:t>• Approved By: CIO</w:t>
        <w:br/>
        <w:t>• Review Cycle: Annual</w:t>
      </w:r>
    </w:p>
    <w:p>
      <w:pPr>
        <w:pStyle w:val="Heading1"/>
      </w:pPr>
      <w:r>
        <w:t>2. Purpose</w:t>
      </w:r>
    </w:p>
    <w:p>
      <w:r>
        <w:t>This document defines guiding principles to support consistent and effective architecture decisions across our Life Sciences organization, ensuring regulatory compliance, patient safety, and innovation in R&amp;D.</w:t>
      </w:r>
    </w:p>
    <w:p>
      <w:pPr>
        <w:pStyle w:val="Heading1"/>
      </w:pPr>
      <w:r>
        <w:t>3. Scope</w:t>
      </w:r>
    </w:p>
    <w:p>
      <w:r>
        <w:t>• Applies to: All enterprise systems and solutions in R&amp;D, Manufacturing, Clinical Trials, and Commercial functions.</w:t>
        <w:br/>
        <w:t>• Excludes: Non-regulated marketing pilots and vendor proof-of-concepts.</w:t>
      </w:r>
    </w:p>
    <w:p>
      <w:pPr>
        <w:pStyle w:val="Heading1"/>
      </w:pPr>
      <w:r>
        <w:t>4. Principles</w:t>
      </w:r>
    </w:p>
    <w:p>
      <w:pPr>
        <w:pStyle w:val="Heading2"/>
      </w:pPr>
      <w:r>
        <w:t>AP-01: Data Integrity is Paramount</w:t>
      </w:r>
    </w:p>
    <w:p>
      <w:r>
        <w:t>Statement: All systems must ensure ALCOA+ principles (Attributable, Legible, Contemporaneous, Original, Accurate, Complete, Consistent, Enduring, Available).</w:t>
      </w:r>
    </w:p>
    <w:p>
      <w:r>
        <w:t>Rationale: Data integrity is a regulatory requirement (FDA, EMA) and essential for patient safety and clinical trial reliability.</w:t>
      </w:r>
    </w:p>
    <w:p>
      <w:r>
        <w:t>Implications:</w:t>
        <w:br/>
        <w:t>- Systems must implement audit trails.</w:t>
        <w:br/>
        <w:t>- Manual interventions must be minimized.</w:t>
        <w:br/>
        <w:t>- Validation is required for GxP systems.</w:t>
      </w:r>
    </w:p>
    <w:p>
      <w:pPr>
        <w:pStyle w:val="Heading2"/>
      </w:pPr>
      <w:r>
        <w:t>AP-02: Patient-Centric Design</w:t>
      </w:r>
    </w:p>
    <w:p>
      <w:r>
        <w:t>Statement: All technology solutions must prioritize patient safety, privacy, and user experience.</w:t>
      </w:r>
    </w:p>
    <w:p>
      <w:r>
        <w:t>Rationale: Life Sciences organizations exist to improve patient outcomes, and systems must reflect this.</w:t>
      </w:r>
    </w:p>
    <w:p>
      <w:r>
        <w:t>Implications:</w:t>
        <w:br/>
        <w:t>- Compliance with HIPAA and GDPR.</w:t>
        <w:br/>
        <w:t>- Consent management built into digital platforms.</w:t>
        <w:br/>
        <w:t>- Usability studies for patient-facing applications.</w:t>
      </w:r>
    </w:p>
    <w:p>
      <w:pPr>
        <w:pStyle w:val="Heading2"/>
      </w:pPr>
      <w:r>
        <w:t>AP-03: Reuse Before Buy Before Build</w:t>
      </w:r>
    </w:p>
    <w:p>
      <w:r>
        <w:t>Statement: Existing validated solutions should be reused; if unavailable, purchase commercial-off-the-shelf (COTS) before considering custom development.</w:t>
      </w:r>
    </w:p>
    <w:p>
      <w:r>
        <w:t>Rationale: Reuse reduces validation burden and cost while ensuring compliance.</w:t>
      </w:r>
    </w:p>
    <w:p>
      <w:r>
        <w:t>Implications:</w:t>
        <w:br/>
        <w:t>- Repository of validated solutions maintained.</w:t>
        <w:br/>
        <w:t>- Build only when no suitable product exists.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