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Enterprise Architecture Compliance Checklist (Life Sciences)</w:t>
      </w:r>
    </w:p>
    <w:p>
      <w:pPr>
        <w:pStyle w:val="Heading1"/>
      </w:pPr>
      <w:r>
        <w:t>1. General Information</w:t>
      </w:r>
    </w:p>
    <w:p>
      <w:r>
        <w:t>• Project/Initiative Name: Global Clinical Trial Platform</w:t>
        <w:br/>
        <w:t>• Project ID: CT-2025-01</w:t>
        <w:br/>
        <w:t>• Reviewer: EA Governance Lead</w:t>
        <w:br/>
        <w:t>• Date of Review: 2025-09-02</w:t>
        <w:br/>
        <w:t>• Version: 1.0</w:t>
      </w:r>
    </w:p>
    <w:p>
      <w:pPr>
        <w:pStyle w:val="Heading1"/>
      </w:pPr>
      <w:r>
        <w:t>2. Checklist Categories</w:t>
      </w:r>
    </w:p>
    <w:p>
      <w:pPr>
        <w:pStyle w:val="Heading2"/>
      </w:pPr>
      <w:r>
        <w:t>A. Business Alignment</w:t>
      </w:r>
    </w:p>
    <w:p>
      <w:r>
        <w:t>[x] Supports Clinical Development strategy</w:t>
        <w:br/>
        <w:t>[x] Engages Regulatory Affairs and Clinical Operations stakeholders</w:t>
        <w:br/>
        <w:t>[ ] Business case approved by Portfolio Committee</w:t>
      </w:r>
    </w:p>
    <w:p>
      <w:pPr>
        <w:pStyle w:val="Heading2"/>
      </w:pPr>
      <w:r>
        <w:t>B. Application Architecture</w:t>
      </w:r>
    </w:p>
    <w:p>
      <w:r>
        <w:t>[x] Application integrates with Electronic Data Capture (EDC) system</w:t>
        <w:br/>
        <w:t>[x] Reuses standard APIs for safety reporting</w:t>
        <w:br/>
        <w:t>[ ] Legacy decommission plan defined</w:t>
      </w:r>
    </w:p>
    <w:p>
      <w:pPr>
        <w:pStyle w:val="Heading2"/>
      </w:pPr>
      <w:r>
        <w:t>C. Data Architecture</w:t>
      </w:r>
    </w:p>
    <w:p>
      <w:r>
        <w:t>[x] Clinical trial data stored according to CDISC standards</w:t>
        <w:br/>
        <w:t>[x] Data retention aligned with GxP requirements</w:t>
        <w:br/>
        <w:t>[ ] Data anonymization plan for patient data</w:t>
      </w:r>
    </w:p>
    <w:p>
      <w:pPr>
        <w:pStyle w:val="Heading2"/>
      </w:pPr>
      <w:r>
        <w:t>D. Technology Architecture</w:t>
      </w:r>
    </w:p>
    <w:p>
      <w:r>
        <w:t>[x] Hosted in validated GxP-compliant cloud</w:t>
        <w:br/>
        <w:t>[x] Disaster recovery plan documented</w:t>
        <w:br/>
        <w:t>[ ] Performance benchmarks validated</w:t>
      </w:r>
    </w:p>
    <w:p>
      <w:pPr>
        <w:pStyle w:val="Heading2"/>
      </w:pPr>
      <w:r>
        <w:t>E. Security Architecture</w:t>
      </w:r>
    </w:p>
    <w:p>
      <w:r>
        <w:t>[x] HIPAA and GDPR requirements covered</w:t>
        <w:br/>
        <w:t>[x] Role-based access control implemented</w:t>
        <w:br/>
        <w:t>[ ] Annual penetration test scheduled</w:t>
      </w:r>
    </w:p>
    <w:p>
      <w:pPr>
        <w:pStyle w:val="Heading2"/>
      </w:pPr>
      <w:r>
        <w:t>F. Governance &amp; Compliance</w:t>
      </w:r>
    </w:p>
    <w:p>
      <w:r>
        <w:t>[x] Aligns with EA Principles (AP-01 Data Integrity, AP-02 Patient-Centric)</w:t>
        <w:br/>
        <w:t>[ ] Exceptions approved by QA</w:t>
        <w:br/>
        <w:t>[ ] Governance plan post go-live documented</w:t>
      </w:r>
    </w:p>
    <w:p>
      <w:pPr>
        <w:pStyle w:val="Heading1"/>
      </w:pPr>
      <w:r>
        <w:t>3. Summary</w:t>
      </w:r>
    </w:p>
    <w:p>
      <w:r>
        <w:t>• Total Checks: 18</w:t>
        <w:br/>
        <w:t>• Checks Passed: 13</w:t>
        <w:br/>
        <w:t>• Checks Failed: 5</w:t>
        <w:br/>
        <w:t>• Exceptions Granted: 2</w:t>
      </w:r>
    </w:p>
    <w:p>
      <w:pPr>
        <w:pStyle w:val="Heading1"/>
      </w:pPr>
      <w:r>
        <w:t>4. Sign-off</w:t>
      </w:r>
    </w:p>
    <w:p>
      <w:r>
        <w:t>• Reviewed By: Chief Architect</w:t>
        <w:br/>
        <w:t>• Date: 2025-09-02</w:t>
        <w:br/>
        <w:t>• Approval: Pending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