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E1B1" w14:textId="77777777" w:rsidR="00071B33" w:rsidRPr="00C5398C" w:rsidRDefault="00000000">
      <w:pPr>
        <w:pStyle w:val="Heading1"/>
        <w:rPr>
          <w:rFonts w:ascii="Candara" w:hAnsi="Candara"/>
        </w:rPr>
      </w:pPr>
      <w:r w:rsidRPr="00C5398C">
        <w:rPr>
          <w:rFonts w:ascii="Candara" w:hAnsi="Candara"/>
        </w:rPr>
        <w:t>DPDP Compliance Sheets – Detailed Explanations</w:t>
      </w:r>
    </w:p>
    <w:p w14:paraId="7BE31079" w14:textId="77777777" w:rsidR="00071B33" w:rsidRPr="00C5398C" w:rsidRDefault="00000000">
      <w:pPr>
        <w:pStyle w:val="Heading2"/>
        <w:rPr>
          <w:rFonts w:ascii="Candara" w:hAnsi="Candara"/>
        </w:rPr>
      </w:pPr>
      <w:r w:rsidRPr="00C5398C">
        <w:rPr>
          <w:rFonts w:ascii="Candara" w:hAnsi="Candara"/>
        </w:rPr>
        <w:t>1. ROPA — Record of Processing Activities</w:t>
      </w:r>
    </w:p>
    <w:p w14:paraId="50FBF59B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Purpose:</w:t>
      </w:r>
    </w:p>
    <w:p w14:paraId="6D0A1AB1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Acts as the master inventory of all personal data your organization collects, processes, stores, shares, and deletes.</w:t>
      </w:r>
    </w:p>
    <w:p w14:paraId="37AEDAE8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Necessary for DPDP audits, DPIA, SDF obligations, and legal defensibility.</w:t>
      </w:r>
    </w:p>
    <w:p w14:paraId="4A10D19E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Why needed:</w:t>
      </w:r>
    </w:p>
    <w:p w14:paraId="0246845A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Shows WHAT data is processed, WHY, WHERE it is stored, WHO can access it, and HOW long it is retained.</w:t>
      </w:r>
    </w:p>
    <w:p w14:paraId="66501E06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Helps identify risk areas and cross-border transfers.</w:t>
      </w:r>
    </w:p>
    <w:p w14:paraId="2A9CC844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Required as good practice for listed companies and SDF.</w:t>
      </w:r>
    </w:p>
    <w:p w14:paraId="5BBB9B63" w14:textId="77777777" w:rsidR="00071B33" w:rsidRPr="00C5398C" w:rsidRDefault="00000000">
      <w:pPr>
        <w:pStyle w:val="Heading2"/>
        <w:rPr>
          <w:rFonts w:ascii="Candara" w:hAnsi="Candara"/>
        </w:rPr>
      </w:pPr>
      <w:r w:rsidRPr="00C5398C">
        <w:rPr>
          <w:rFonts w:ascii="Candara" w:hAnsi="Candara"/>
        </w:rPr>
        <w:t>2. CrossBorder_Transfers — Cross-border Transfer Register</w:t>
      </w:r>
    </w:p>
    <w:p w14:paraId="47451821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Purpose:</w:t>
      </w:r>
    </w:p>
    <w:p w14:paraId="40BB8ACC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Track all personal data leaving India as per DPDP Rule 15.</w:t>
      </w:r>
    </w:p>
    <w:p w14:paraId="75C881A8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Maintain record of destinations, vendors, encryption controls, and legal justifications.</w:t>
      </w:r>
    </w:p>
    <w:p w14:paraId="28230A29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Why needed:</w:t>
      </w:r>
    </w:p>
    <w:p w14:paraId="634991BF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DPDP mandates documenting every cross-border transfer.</w:t>
      </w:r>
    </w:p>
    <w:p w14:paraId="186937D6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Required for AWS/Azure foreign regions and international SaaS.</w:t>
      </w:r>
    </w:p>
    <w:p w14:paraId="178FD25A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Ensures compliance if government restricts specific destinations.</w:t>
      </w:r>
    </w:p>
    <w:p w14:paraId="038596B9" w14:textId="77777777" w:rsidR="00071B33" w:rsidRPr="00C5398C" w:rsidRDefault="00000000">
      <w:pPr>
        <w:pStyle w:val="Heading2"/>
        <w:rPr>
          <w:rFonts w:ascii="Candara" w:hAnsi="Candara"/>
        </w:rPr>
      </w:pPr>
      <w:r w:rsidRPr="00C5398C">
        <w:rPr>
          <w:rFonts w:ascii="Candara" w:hAnsi="Candara"/>
        </w:rPr>
        <w:t>3. DPIA_Template — Data Protection Impact Assessment</w:t>
      </w:r>
    </w:p>
    <w:p w14:paraId="36F3EA62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Purpose:</w:t>
      </w:r>
    </w:p>
    <w:p w14:paraId="46738DC3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Assess privacy risks for systems handling large volumes of personal data.</w:t>
      </w:r>
    </w:p>
    <w:p w14:paraId="5A125BB6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Mandatory for Significant Data Fiduciaries (listed companies are likely classified as SDF).</w:t>
      </w:r>
    </w:p>
    <w:p w14:paraId="0D554836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Why needed:</w:t>
      </w:r>
    </w:p>
    <w:p w14:paraId="1BBFF318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Identifies high-risk processing activities and evaluates mitigations.</w:t>
      </w:r>
    </w:p>
    <w:p w14:paraId="2DDDB164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Supports DPO and Board approvals.</w:t>
      </w:r>
    </w:p>
    <w:p w14:paraId="2CEB22B8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Needed annually for SDF compliance.</w:t>
      </w:r>
    </w:p>
    <w:p w14:paraId="539FBB11" w14:textId="77777777" w:rsidR="00071B33" w:rsidRPr="00C5398C" w:rsidRDefault="00000000">
      <w:pPr>
        <w:pStyle w:val="Heading2"/>
        <w:rPr>
          <w:rFonts w:ascii="Candara" w:hAnsi="Candara"/>
        </w:rPr>
      </w:pPr>
      <w:r w:rsidRPr="00C5398C">
        <w:rPr>
          <w:rFonts w:ascii="Candara" w:hAnsi="Candara"/>
        </w:rPr>
        <w:lastRenderedPageBreak/>
        <w:t>4. Breach_Register — Data Breach Log</w:t>
      </w:r>
    </w:p>
    <w:p w14:paraId="31D86D4B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Purpose:</w:t>
      </w:r>
    </w:p>
    <w:p w14:paraId="56E5A239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Document all data breaches, including attempts, per DPDP Rule 7.</w:t>
      </w:r>
    </w:p>
    <w:p w14:paraId="428D4597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Maintain timeline for 72-hour reporting requirement.</w:t>
      </w:r>
    </w:p>
    <w:p w14:paraId="40B38660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Why needed:</w:t>
      </w:r>
    </w:p>
    <w:p w14:paraId="4236E685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Regulators and auditors require historical breach logs.</w:t>
      </w:r>
    </w:p>
    <w:p w14:paraId="4F364765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SEBI and DPDP both mandate breach reporting.</w:t>
      </w:r>
    </w:p>
    <w:p w14:paraId="705DC7AD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This register becomes critical during investigations.</w:t>
      </w:r>
    </w:p>
    <w:p w14:paraId="58C23DD1" w14:textId="77777777" w:rsidR="00071B33" w:rsidRPr="00C5398C" w:rsidRDefault="00000000">
      <w:pPr>
        <w:pStyle w:val="Heading2"/>
        <w:rPr>
          <w:rFonts w:ascii="Candara" w:hAnsi="Candara"/>
        </w:rPr>
      </w:pPr>
      <w:r w:rsidRPr="00C5398C">
        <w:rPr>
          <w:rFonts w:ascii="Candara" w:hAnsi="Candara"/>
        </w:rPr>
        <w:t>5. DP_Request_Register — Data Principal Request Register</w:t>
      </w:r>
    </w:p>
    <w:p w14:paraId="2ECA7270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Purpose:</w:t>
      </w:r>
    </w:p>
    <w:p w14:paraId="279501AA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Track rights requests such as Access, Correction, Erasure, Consent Withdrawal, and Grievances.</w:t>
      </w:r>
    </w:p>
    <w:p w14:paraId="1A6D9B78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Proves compliance to DPDP Rule 14.</w:t>
      </w:r>
    </w:p>
    <w:p w14:paraId="79F213B8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Why needed:</w:t>
      </w:r>
    </w:p>
    <w:p w14:paraId="56EB84D6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DPDP mandates responding within defined timelines.</w:t>
      </w:r>
    </w:p>
    <w:p w14:paraId="2453DD7C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Auditors check whether requests were closed within SLA.</w:t>
      </w:r>
    </w:p>
    <w:p w14:paraId="4064AC6C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Acts as legal defense showing timely action.</w:t>
      </w:r>
    </w:p>
    <w:p w14:paraId="713784EC" w14:textId="77777777" w:rsidR="00071B33" w:rsidRPr="00C5398C" w:rsidRDefault="00000000">
      <w:pPr>
        <w:pStyle w:val="Heading2"/>
        <w:rPr>
          <w:rFonts w:ascii="Candara" w:hAnsi="Candara"/>
        </w:rPr>
      </w:pPr>
      <w:r w:rsidRPr="00C5398C">
        <w:rPr>
          <w:rFonts w:ascii="Candara" w:hAnsi="Candara"/>
        </w:rPr>
        <w:t>6. Vendor_Risk_Assessment — Vendor/Processor Evaluation</w:t>
      </w:r>
    </w:p>
    <w:p w14:paraId="79F33BD4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Purpose:</w:t>
      </w:r>
    </w:p>
    <w:p w14:paraId="034B3C04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Evaluate all vendors handling personal data (processors) under DPDP Rule 6(f).</w:t>
      </w:r>
    </w:p>
    <w:p w14:paraId="784A0CA3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Ensure vendors have appropriate security and privacy controls.</w:t>
      </w:r>
    </w:p>
    <w:p w14:paraId="4BD3C958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Why needed:</w:t>
      </w:r>
    </w:p>
    <w:p w14:paraId="16E016C1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You remain responsible for breaches caused by your vendors.</w:t>
      </w:r>
    </w:p>
    <w:p w14:paraId="2DD59F2A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Helps score risk levels (High/Medium/Low).</w:t>
      </w:r>
    </w:p>
    <w:p w14:paraId="7747D8CF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Required for contract renewals and due diligence.</w:t>
      </w:r>
    </w:p>
    <w:p w14:paraId="1A557324" w14:textId="77777777" w:rsidR="00071B33" w:rsidRPr="00C5398C" w:rsidRDefault="00000000">
      <w:pPr>
        <w:pStyle w:val="Heading2"/>
        <w:rPr>
          <w:rFonts w:ascii="Candara" w:hAnsi="Candara"/>
        </w:rPr>
      </w:pPr>
      <w:r w:rsidRPr="00C5398C">
        <w:rPr>
          <w:rFonts w:ascii="Candara" w:hAnsi="Candara"/>
        </w:rPr>
        <w:t>7. Evidence_Checklist — Compliance Evidence Repository</w:t>
      </w:r>
    </w:p>
    <w:p w14:paraId="5B2EDBF5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Purpose:</w:t>
      </w:r>
    </w:p>
    <w:p w14:paraId="2FB92277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Track all evidence supporting DPDP compliance.</w:t>
      </w:r>
    </w:p>
    <w:p w14:paraId="6C6C0E9D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Includes logs, screenshots, reports, policies, and audit exports.</w:t>
      </w:r>
    </w:p>
    <w:p w14:paraId="08797FA5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Why needed:</w:t>
      </w:r>
    </w:p>
    <w:p w14:paraId="382291EB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Auditors require proof for every implemented control.</w:t>
      </w:r>
    </w:p>
    <w:p w14:paraId="2144A7F5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lastRenderedPageBreak/>
        <w:t>• Makes DPDP, SEBI, and ISO audits faster.</w:t>
      </w:r>
    </w:p>
    <w:p w14:paraId="61EC35B2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Prevents missing evidence during regulatory inspections.</w:t>
      </w:r>
    </w:p>
    <w:p w14:paraId="3DD4E9BF" w14:textId="77777777" w:rsidR="00071B33" w:rsidRPr="00C5398C" w:rsidRDefault="00000000">
      <w:pPr>
        <w:pStyle w:val="Heading2"/>
        <w:rPr>
          <w:rFonts w:ascii="Candara" w:hAnsi="Candara"/>
        </w:rPr>
      </w:pPr>
      <w:r w:rsidRPr="00C5398C">
        <w:rPr>
          <w:rFonts w:ascii="Candara" w:hAnsi="Candara"/>
        </w:rPr>
        <w:t>8. DPDP_ISO_SEBI_Map — Compliance Cross-Mapping</w:t>
      </w:r>
    </w:p>
    <w:p w14:paraId="2C18166F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Purpose:</w:t>
      </w:r>
    </w:p>
    <w:p w14:paraId="33217631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Map DPDP controls to ISO 27001 and SEBI Cybersecurity guidelines.</w:t>
      </w:r>
    </w:p>
    <w:p w14:paraId="25C015C9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Shows how one control satisfies multiple compliance frameworks.</w:t>
      </w:r>
    </w:p>
    <w:p w14:paraId="55108DA5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Why needed:</w:t>
      </w:r>
    </w:p>
    <w:p w14:paraId="7716D3AC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Reduces duplicate work.</w:t>
      </w:r>
    </w:p>
    <w:p w14:paraId="41C35A6E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Helps CISOs and auditors identify coverage gaps.</w:t>
      </w:r>
    </w:p>
    <w:p w14:paraId="7E710BFE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Creates unified compliance governance.</w:t>
      </w:r>
    </w:p>
    <w:p w14:paraId="51E60DE7" w14:textId="77777777" w:rsidR="00071B33" w:rsidRPr="00C5398C" w:rsidRDefault="00000000">
      <w:pPr>
        <w:pStyle w:val="Heading2"/>
        <w:rPr>
          <w:rFonts w:ascii="Candara" w:hAnsi="Candara"/>
        </w:rPr>
      </w:pPr>
      <w:r w:rsidRPr="00C5398C">
        <w:rPr>
          <w:rFonts w:ascii="Candara" w:hAnsi="Candara"/>
        </w:rPr>
        <w:t>9. Training_Register — Employee Training Log</w:t>
      </w:r>
    </w:p>
    <w:p w14:paraId="01B02FDD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Purpose:</w:t>
      </w:r>
    </w:p>
    <w:p w14:paraId="5F28D5B3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Track DPDP and cybersecurity training for employees.</w:t>
      </w:r>
    </w:p>
    <w:p w14:paraId="3C9B1882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Proves that organizational safeguards under Rule 6 were implemented.</w:t>
      </w:r>
    </w:p>
    <w:p w14:paraId="250813F6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Why needed:</w:t>
      </w:r>
    </w:p>
    <w:p w14:paraId="41F28AF3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Training is compulsory for privacy and security programs.</w:t>
      </w:r>
    </w:p>
    <w:p w14:paraId="10C96A2A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Listed companies must maintain cybersecurity training logs for SEBI.</w:t>
      </w:r>
    </w:p>
    <w:p w14:paraId="19FA9797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Demonstrates awareness across workforce.</w:t>
      </w:r>
    </w:p>
    <w:p w14:paraId="3D963686" w14:textId="77777777" w:rsidR="00071B33" w:rsidRPr="00C5398C" w:rsidRDefault="00000000">
      <w:pPr>
        <w:pStyle w:val="Heading2"/>
        <w:rPr>
          <w:rFonts w:ascii="Candara" w:hAnsi="Candara"/>
        </w:rPr>
      </w:pPr>
      <w:r w:rsidRPr="00C5398C">
        <w:rPr>
          <w:rFonts w:ascii="Candara" w:hAnsi="Candara"/>
        </w:rPr>
        <w:t>10. Key_Management — Encryption Key Register</w:t>
      </w:r>
    </w:p>
    <w:p w14:paraId="46B69523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Purpose:</w:t>
      </w:r>
    </w:p>
    <w:p w14:paraId="65842D1D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Track cryptographic keys used for:</w:t>
      </w:r>
    </w:p>
    <w:p w14:paraId="1AC3A3BA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• Database encryption (Oracle TDE, SQL TDE)</w:t>
      </w:r>
    </w:p>
    <w:p w14:paraId="5E6CE984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• File encryption</w:t>
      </w:r>
    </w:p>
    <w:p w14:paraId="134749B8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• AWS/Azure KMS keys</w:t>
      </w:r>
    </w:p>
    <w:p w14:paraId="30E3C660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• Server certificates</w:t>
      </w:r>
    </w:p>
    <w:p w14:paraId="2D3E22FF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• API keys (optional)</w:t>
      </w:r>
    </w:p>
    <w:p w14:paraId="43D16D79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• Secrets stored in vaults</w:t>
      </w:r>
    </w:p>
    <w:p w14:paraId="546196D1" w14:textId="77777777" w:rsidR="00071B33" w:rsidRPr="00C5398C" w:rsidRDefault="00000000">
      <w:pPr>
        <w:pStyle w:val="Heading3"/>
        <w:rPr>
          <w:rFonts w:ascii="Candara" w:hAnsi="Candara"/>
        </w:rPr>
      </w:pPr>
      <w:r w:rsidRPr="00C5398C">
        <w:rPr>
          <w:rFonts w:ascii="Candara" w:hAnsi="Candara"/>
        </w:rPr>
        <w:t>Why needed:</w:t>
      </w:r>
    </w:p>
    <w:p w14:paraId="3EE3C44A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To prove:</w:t>
      </w:r>
    </w:p>
    <w:p w14:paraId="42EE2818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lastRenderedPageBreak/>
        <w:t>• • Keys are rotated regularly</w:t>
      </w:r>
    </w:p>
    <w:p w14:paraId="4584F90F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• Access to keys is restricted</w:t>
      </w:r>
    </w:p>
    <w:p w14:paraId="19539436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• Sensitive encryption material is protected</w:t>
      </w:r>
    </w:p>
    <w:p w14:paraId="36699457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• Encryption is managed safely across systems</w:t>
      </w:r>
    </w:p>
    <w:p w14:paraId="0B6C9457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Auditors routinely ask: “Show me encryption key rotation logs.”</w:t>
      </w:r>
    </w:p>
    <w:p w14:paraId="5F839310" w14:textId="77777777" w:rsidR="00071B33" w:rsidRPr="00C5398C" w:rsidRDefault="00000000">
      <w:pPr>
        <w:rPr>
          <w:rFonts w:ascii="Candara" w:hAnsi="Candara"/>
        </w:rPr>
      </w:pPr>
      <w:r w:rsidRPr="00C5398C">
        <w:rPr>
          <w:rFonts w:ascii="Candara" w:hAnsi="Candara"/>
        </w:rPr>
        <w:t>• This sheet provides that proof.</w:t>
      </w:r>
    </w:p>
    <w:sectPr w:rsidR="00071B33" w:rsidRPr="00C539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991297">
    <w:abstractNumId w:val="8"/>
  </w:num>
  <w:num w:numId="2" w16cid:durableId="1437603995">
    <w:abstractNumId w:val="6"/>
  </w:num>
  <w:num w:numId="3" w16cid:durableId="1485078220">
    <w:abstractNumId w:val="5"/>
  </w:num>
  <w:num w:numId="4" w16cid:durableId="1743212944">
    <w:abstractNumId w:val="4"/>
  </w:num>
  <w:num w:numId="5" w16cid:durableId="807624291">
    <w:abstractNumId w:val="7"/>
  </w:num>
  <w:num w:numId="6" w16cid:durableId="1738824137">
    <w:abstractNumId w:val="3"/>
  </w:num>
  <w:num w:numId="7" w16cid:durableId="270743364">
    <w:abstractNumId w:val="2"/>
  </w:num>
  <w:num w:numId="8" w16cid:durableId="1805463455">
    <w:abstractNumId w:val="1"/>
  </w:num>
  <w:num w:numId="9" w16cid:durableId="9116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B33"/>
    <w:rsid w:val="0015074B"/>
    <w:rsid w:val="0029639D"/>
    <w:rsid w:val="00326F90"/>
    <w:rsid w:val="005E255A"/>
    <w:rsid w:val="00AA1D8D"/>
    <w:rsid w:val="00B47730"/>
    <w:rsid w:val="00C539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A0C66"/>
  <w14:defaultImageDpi w14:val="300"/>
  <w15:docId w15:val="{F5440B67-8445-4E14-ADD4-F8D0B0B8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98C"/>
  </w:style>
  <w:style w:type="paragraph" w:styleId="Heading1">
    <w:name w:val="heading 1"/>
    <w:basedOn w:val="Normal"/>
    <w:next w:val="Normal"/>
    <w:link w:val="Heading1Char"/>
    <w:uiPriority w:val="9"/>
    <w:qFormat/>
    <w:rsid w:val="00C5398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98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98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98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98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98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9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98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98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C5398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5398C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398C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5398C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5398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5398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98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5398C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5398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5398C"/>
    <w:rPr>
      <w:i/>
      <w:iCs/>
      <w:color w:val="262626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98C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98C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98C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98C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98C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98C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398C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5398C"/>
    <w:rPr>
      <w:b/>
      <w:bCs/>
    </w:rPr>
  </w:style>
  <w:style w:type="character" w:styleId="Emphasis">
    <w:name w:val="Emphasis"/>
    <w:basedOn w:val="DefaultParagraphFont"/>
    <w:uiPriority w:val="20"/>
    <w:qFormat/>
    <w:rsid w:val="00C5398C"/>
    <w:rPr>
      <w:i/>
      <w:iCs/>
      <w:color w:val="F79646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98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98C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5398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C5398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5398C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C5398C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C5398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398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520</Words>
  <Characters>3488</Characters>
  <Application>Microsoft Office Word</Application>
  <DocSecurity>0</DocSecurity>
  <Lines>96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venugopalarao.p@isbsindia.in</dc:creator>
  <cp:keywords/>
  <dc:description>generated by python-docx</dc:description>
  <cp:lastModifiedBy>Venugopala Rao P</cp:lastModifiedBy>
  <cp:revision>3</cp:revision>
  <dcterms:created xsi:type="dcterms:W3CDTF">2013-12-23T23:15:00Z</dcterms:created>
  <dcterms:modified xsi:type="dcterms:W3CDTF">2025-11-19T04:10:00Z</dcterms:modified>
  <cp:category/>
</cp:coreProperties>
</file>