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Non-Functional Requirements - Interoperability</w:t>
      </w:r>
    </w:p>
    <w:p w:rsidR="00000000" w:rsidDel="00000000" w:rsidP="00000000" w:rsidRDefault="00000000" w:rsidRPr="00000000" w14:paraId="00000002">
      <w:pPr>
        <w:rPr/>
      </w:pPr>
      <w:r w:rsidDel="00000000" w:rsidR="00000000" w:rsidRPr="00000000">
        <w:rPr>
          <w:rtl w:val="0"/>
        </w:rPr>
        <w:t xml:space="preserve">This document contains NFRs categorized under Interoperability. Each NFR is numbered sequentially.</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6972"/>
        <w:tblGridChange w:id="0">
          <w:tblGrid>
            <w:gridCol w:w="1668"/>
            <w:gridCol w:w="6972"/>
          </w:tblGrid>
        </w:tblGridChange>
      </w:tblGrid>
      <w:tr>
        <w:trPr>
          <w:cantSplit w:val="0"/>
          <w:tblHeader w:val="0"/>
        </w:trPr>
        <w:tc>
          <w:tcPr/>
          <w:p w:rsidR="00000000" w:rsidDel="00000000" w:rsidP="00000000" w:rsidRDefault="00000000" w:rsidRPr="00000000" w14:paraId="00000003">
            <w:pPr>
              <w:rPr/>
            </w:pPr>
            <w:r w:rsidDel="00000000" w:rsidR="00000000" w:rsidRPr="00000000">
              <w:rPr>
                <w:rtl w:val="0"/>
              </w:rPr>
              <w:t xml:space="preserve">NFR No.</w:t>
            </w:r>
          </w:p>
        </w:tc>
        <w:tc>
          <w:tcPr/>
          <w:p w:rsidR="00000000" w:rsidDel="00000000" w:rsidP="00000000" w:rsidRDefault="00000000" w:rsidRPr="00000000" w14:paraId="00000004">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NFR-INT-001</w:t>
            </w:r>
          </w:p>
        </w:tc>
        <w:tc>
          <w:tcPr/>
          <w:p w:rsidR="00000000" w:rsidDel="00000000" w:rsidP="00000000" w:rsidRDefault="00000000" w:rsidRPr="00000000" w14:paraId="00000006">
            <w:pPr>
              <w:rPr/>
            </w:pPr>
            <w:r w:rsidDel="00000000" w:rsidR="00000000" w:rsidRPr="00000000">
              <w:rPr>
                <w:rtl w:val="0"/>
              </w:rPr>
              <w:t xml:space="preserve">Data encryption in transit: For data moving between on-premises infrastructure and Cloud or transferring from one location to another location, appropriate safeguards such as HTTPS or VPN features needs to be enbled. When sending encrypted data between two locations over the public internet, use VPN Gateways. This must isolate the data during processing (editing, viewing, analysing, transferring etc.) by placing it in a protected, encrypted enclave</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NFR-INT-002</w:t>
            </w:r>
          </w:p>
        </w:tc>
        <w:tc>
          <w:tcPr/>
          <w:p w:rsidR="00000000" w:rsidDel="00000000" w:rsidP="00000000" w:rsidRDefault="00000000" w:rsidRPr="00000000" w14:paraId="00000008">
            <w:pPr>
              <w:rPr/>
            </w:pPr>
            <w:r w:rsidDel="00000000" w:rsidR="00000000" w:rsidRPr="00000000">
              <w:rPr>
                <w:rtl w:val="0"/>
              </w:rPr>
              <w:t xml:space="preserve">System-to-System Authentication. Authentication mechanism must be implemented for system-to-system communication (e.g., IP address, Functional ID/password, digital certificate, token) commensurate with the risk of the data being transferred. This platform must authenticate the identity of Users or systems accessing these platforms prior to initiating a session or transaction unless the User or System is entitled only to read Internal or Public data on these platforms.</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NFR-INT-003</w:t>
            </w:r>
          </w:p>
        </w:tc>
        <w:tc>
          <w:tcPr/>
          <w:p w:rsidR="00000000" w:rsidDel="00000000" w:rsidP="00000000" w:rsidRDefault="00000000" w:rsidRPr="00000000" w14:paraId="0000000A">
            <w:pPr>
              <w:rPr/>
            </w:pPr>
            <w:r w:rsidDel="00000000" w:rsidR="00000000" w:rsidRPr="00000000">
              <w:rPr>
                <w:rtl w:val="0"/>
              </w:rPr>
              <w:t xml:space="preserve">Third Party Communication: The application must directly communicate with third party services without going through client’s infrastructure.</w:t>
            </w:r>
          </w:p>
        </w:tc>
      </w:tr>
      <w:tr>
        <w:trPr>
          <w:cantSplit w:val="0"/>
          <w:tblHeader w:val="0"/>
        </w:trPr>
        <w:tc>
          <w:tcPr/>
          <w:p w:rsidR="00000000" w:rsidDel="00000000" w:rsidP="00000000" w:rsidRDefault="00000000" w:rsidRPr="00000000" w14:paraId="0000000B">
            <w:pPr>
              <w:rPr>
                <w:highlight w:val="yellow"/>
              </w:rPr>
            </w:pPr>
            <w:r w:rsidDel="00000000" w:rsidR="00000000" w:rsidRPr="00000000">
              <w:rPr>
                <w:highlight w:val="yellow"/>
                <w:rtl w:val="0"/>
              </w:rPr>
              <w:t xml:space="preserve">NFR-INT-004</w:t>
            </w:r>
          </w:p>
        </w:tc>
        <w:tc>
          <w:tcPr/>
          <w:p w:rsidR="00000000" w:rsidDel="00000000" w:rsidP="00000000" w:rsidRDefault="00000000" w:rsidRPr="00000000" w14:paraId="0000000C">
            <w:pPr>
              <w:rPr>
                <w:highlight w:val="yellow"/>
              </w:rPr>
            </w:pPr>
            <w:r w:rsidDel="00000000" w:rsidR="00000000" w:rsidRPr="00000000">
              <w:rPr>
                <w:highlight w:val="yellow"/>
                <w:rtl w:val="0"/>
              </w:rPr>
              <w:t xml:space="preserve">Push Notification Controls: The application must introduce/modify push notification like Apple, Firebase or some other third party cloud based event mechanism. Acceptable Criteria: - TLS appropriate version in place per Company standards. Content signing used to validate the origination of the push notification. Authentication and authorization mechanism in place between the client app, push notification service and application server. The credentials are managed independently by a dedicated group, not development. Data classified confidential PII or higher must have payload encryption in addition to the transmission level encryption.</w:t>
            </w:r>
          </w:p>
        </w:tc>
      </w:tr>
      <w:tr>
        <w:trPr>
          <w:cantSplit w:val="0"/>
          <w:tblHeader w:val="0"/>
        </w:trPr>
        <w:tc>
          <w:tcPr/>
          <w:p w:rsidR="00000000" w:rsidDel="00000000" w:rsidP="00000000" w:rsidRDefault="00000000" w:rsidRPr="00000000" w14:paraId="0000000D">
            <w:pPr>
              <w:rPr>
                <w:highlight w:val="yellow"/>
              </w:rPr>
            </w:pPr>
            <w:r w:rsidDel="00000000" w:rsidR="00000000" w:rsidRPr="00000000">
              <w:rPr>
                <w:highlight w:val="yellow"/>
                <w:rtl w:val="0"/>
              </w:rPr>
              <w:t xml:space="preserve">NFR-INT-005</w:t>
            </w:r>
          </w:p>
        </w:tc>
        <w:tc>
          <w:tcPr/>
          <w:p w:rsidR="00000000" w:rsidDel="00000000" w:rsidP="00000000" w:rsidRDefault="00000000" w:rsidRPr="00000000" w14:paraId="0000000E">
            <w:pPr>
              <w:rPr>
                <w:highlight w:val="yellow"/>
              </w:rPr>
            </w:pPr>
            <w:r w:rsidDel="00000000" w:rsidR="00000000" w:rsidRPr="00000000">
              <w:rPr>
                <w:highlight w:val="yellow"/>
                <w:rtl w:val="0"/>
              </w:rPr>
              <w:t xml:space="preserve">The application must external Cloud Provider Approval: If the application uses an External Cloud Provider and involving information classified as Confidential or higher information, the solution has to be approved by ISROC in accordance with the Cloud Computing Security Assessment Process (CCSAP) - prior to going live, or annually thereafter</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NFR-INT-006</w:t>
            </w:r>
          </w:p>
        </w:tc>
        <w:tc>
          <w:tcPr/>
          <w:p w:rsidR="00000000" w:rsidDel="00000000" w:rsidP="00000000" w:rsidRDefault="00000000" w:rsidRPr="00000000" w14:paraId="00000010">
            <w:pPr>
              <w:rPr/>
            </w:pPr>
            <w:r w:rsidDel="00000000" w:rsidR="00000000" w:rsidRPr="00000000">
              <w:rPr>
                <w:rtl w:val="0"/>
              </w:rPr>
              <w:t xml:space="preserve">The application must patch Management: If the software is sourced from a third party that is not an approved vendor, the software/firmware along with any dependencies must be registered in PAL (Product Alert List) to have appropriate VTM support and there is an active and appropriate process for the release of patches and configuration updates to address security issues for this application</w:t>
            </w:r>
          </w:p>
        </w:tc>
      </w:tr>
      <w:tr>
        <w:trPr>
          <w:cantSplit w:val="0"/>
          <w:tblHeader w:val="0"/>
        </w:trPr>
        <w:tc>
          <w:tcPr/>
          <w:p w:rsidR="00000000" w:rsidDel="00000000" w:rsidP="00000000" w:rsidRDefault="00000000" w:rsidRPr="00000000" w14:paraId="00000011">
            <w:pPr>
              <w:rPr>
                <w:highlight w:val="yellow"/>
              </w:rPr>
            </w:pPr>
            <w:r w:rsidDel="00000000" w:rsidR="00000000" w:rsidRPr="00000000">
              <w:rPr>
                <w:highlight w:val="yellow"/>
                <w:rtl w:val="0"/>
              </w:rPr>
              <w:t xml:space="preserve">NFR-INT-007</w:t>
            </w:r>
          </w:p>
        </w:tc>
        <w:tc>
          <w:tcPr/>
          <w:p w:rsidR="00000000" w:rsidDel="00000000" w:rsidP="00000000" w:rsidRDefault="00000000" w:rsidRPr="00000000" w14:paraId="00000012">
            <w:pPr>
              <w:rPr>
                <w:highlight w:val="yellow"/>
              </w:rPr>
            </w:pPr>
            <w:r w:rsidDel="00000000" w:rsidR="00000000" w:rsidRPr="00000000">
              <w:rPr>
                <w:highlight w:val="yellow"/>
                <w:rtl w:val="0"/>
              </w:rPr>
              <w:t xml:space="preserve">TPISA. If the application is hosted by a Third Party or using a Third Party's service, the Third Party Risk Assessment Process must be completed in accordance with the Third Party Management (TPM) Policy.</w:t>
            </w:r>
          </w:p>
        </w:tc>
      </w:tr>
      <w:tr>
        <w:trPr>
          <w:cantSplit w:val="0"/>
          <w:tblHeader w:val="0"/>
        </w:trPr>
        <w:tc>
          <w:tcPr/>
          <w:p w:rsidR="00000000" w:rsidDel="00000000" w:rsidP="00000000" w:rsidRDefault="00000000" w:rsidRPr="00000000" w14:paraId="00000013">
            <w:pPr>
              <w:rPr>
                <w:highlight w:val="yellow"/>
              </w:rPr>
            </w:pPr>
            <w:r w:rsidDel="00000000" w:rsidR="00000000" w:rsidRPr="00000000">
              <w:rPr>
                <w:color w:val="c0504d"/>
                <w:rtl w:val="0"/>
              </w:rPr>
              <w:t xml:space="preserve">NFR-INT-008</w:t>
            </w:r>
            <w:r w:rsidDel="00000000" w:rsidR="00000000" w:rsidRPr="00000000">
              <w:rPr>
                <w:rtl w:val="0"/>
              </w:rPr>
            </w:r>
          </w:p>
        </w:tc>
        <w:tc>
          <w:tcPr/>
          <w:p w:rsidR="00000000" w:rsidDel="00000000" w:rsidP="00000000" w:rsidRDefault="00000000" w:rsidRPr="00000000" w14:paraId="00000014">
            <w:pPr>
              <w:rPr>
                <w:highlight w:val="yellow"/>
              </w:rPr>
            </w:pPr>
            <w:r w:rsidDel="00000000" w:rsidR="00000000" w:rsidRPr="00000000">
              <w:rPr>
                <w:color w:val="c0504d"/>
                <w:rtl w:val="0"/>
              </w:rPr>
              <w:t xml:space="preserve">The platform must support integration with external APIs via API Gateway.</w:t>
            </w:r>
            <w:r w:rsidDel="00000000" w:rsidR="00000000" w:rsidRPr="00000000">
              <w:rPr>
                <w:rtl w:val="0"/>
              </w:rPr>
            </w:r>
          </w:p>
        </w:tc>
      </w:tr>
      <w:tr>
        <w:trPr>
          <w:cantSplit w:val="0"/>
          <w:tblHeader w:val="0"/>
        </w:trPr>
        <w:tc>
          <w:tcPr/>
          <w:p w:rsidR="00000000" w:rsidDel="00000000" w:rsidP="00000000" w:rsidRDefault="00000000" w:rsidRPr="00000000" w14:paraId="00000015">
            <w:pPr>
              <w:rPr>
                <w:highlight w:val="yellow"/>
              </w:rPr>
            </w:pPr>
            <w:r w:rsidDel="00000000" w:rsidR="00000000" w:rsidRPr="00000000">
              <w:rPr>
                <w:color w:val="c0504d"/>
                <w:rtl w:val="0"/>
              </w:rPr>
              <w:t xml:space="preserve">NFR-INT-009</w:t>
            </w:r>
            <w:r w:rsidDel="00000000" w:rsidR="00000000" w:rsidRPr="00000000">
              <w:rPr>
                <w:rtl w:val="0"/>
              </w:rPr>
            </w:r>
          </w:p>
        </w:tc>
        <w:tc>
          <w:tcPr/>
          <w:p w:rsidR="00000000" w:rsidDel="00000000" w:rsidP="00000000" w:rsidRDefault="00000000" w:rsidRPr="00000000" w14:paraId="00000016">
            <w:pPr>
              <w:rPr>
                <w:highlight w:val="yellow"/>
              </w:rPr>
            </w:pPr>
            <w:r w:rsidDel="00000000" w:rsidR="00000000" w:rsidRPr="00000000">
              <w:rPr>
                <w:color w:val="c0504d"/>
                <w:rtl w:val="0"/>
              </w:rPr>
              <w:t xml:space="preserve">The communication gateway must support SMTP, SMS, chatbot, and WhatsApp channels.</w:t>
            </w:r>
            <w:r w:rsidDel="00000000" w:rsidR="00000000" w:rsidRPr="00000000">
              <w:rPr>
                <w:rtl w:val="0"/>
              </w:rPr>
            </w:r>
          </w:p>
        </w:tc>
      </w:tr>
      <w:tr>
        <w:trPr>
          <w:cantSplit w:val="0"/>
          <w:tblHeader w:val="0"/>
        </w:trPr>
        <w:tc>
          <w:tcPr/>
          <w:p w:rsidR="00000000" w:rsidDel="00000000" w:rsidP="00000000" w:rsidRDefault="00000000" w:rsidRPr="00000000" w14:paraId="00000017">
            <w:pPr>
              <w:rPr>
                <w:color w:val="c0504d"/>
              </w:rPr>
            </w:pPr>
            <w:r w:rsidDel="00000000" w:rsidR="00000000" w:rsidRPr="00000000">
              <w:rPr>
                <w:color w:val="548dd4"/>
                <w:rtl w:val="0"/>
              </w:rPr>
              <w:t xml:space="preserve">NFR-INT-010</w:t>
            </w:r>
            <w:r w:rsidDel="00000000" w:rsidR="00000000" w:rsidRPr="00000000">
              <w:rPr>
                <w:rtl w:val="0"/>
              </w:rPr>
            </w:r>
          </w:p>
        </w:tc>
        <w:tc>
          <w:tcPr/>
          <w:p w:rsidR="00000000" w:rsidDel="00000000" w:rsidP="00000000" w:rsidRDefault="00000000" w:rsidRPr="00000000" w14:paraId="00000018">
            <w:pPr>
              <w:rPr>
                <w:color w:val="c0504d"/>
              </w:rPr>
            </w:pPr>
            <w:r w:rsidDel="00000000" w:rsidR="00000000" w:rsidRPr="00000000">
              <w:rPr>
                <w:color w:val="548dd4"/>
                <w:rtl w:val="0"/>
              </w:rPr>
              <w:t xml:space="preserve">API kit documentation should be available</w:t>
            </w:r>
            <w:r w:rsidDel="00000000" w:rsidR="00000000" w:rsidRPr="00000000">
              <w:rPr>
                <w:rtl w:val="0"/>
              </w:rPr>
            </w:r>
          </w:p>
        </w:tc>
      </w:tr>
      <w:tr>
        <w:trPr>
          <w:cantSplit w:val="0"/>
          <w:tblHeader w:val="0"/>
        </w:trPr>
        <w:tc>
          <w:tcPr/>
          <w:p w:rsidR="00000000" w:rsidDel="00000000" w:rsidP="00000000" w:rsidRDefault="00000000" w:rsidRPr="00000000" w14:paraId="00000019">
            <w:pPr>
              <w:rPr>
                <w:color w:val="548dd4"/>
              </w:rPr>
            </w:pPr>
            <w:r w:rsidDel="00000000" w:rsidR="00000000" w:rsidRPr="00000000">
              <w:rPr>
                <w:color w:val="548dd4"/>
                <w:rtl w:val="0"/>
              </w:rPr>
              <w:t xml:space="preserve">NFR-INT-011</w:t>
            </w:r>
          </w:p>
        </w:tc>
        <w:tc>
          <w:tcPr/>
          <w:p w:rsidR="00000000" w:rsidDel="00000000" w:rsidP="00000000" w:rsidRDefault="00000000" w:rsidRPr="00000000" w14:paraId="0000001A">
            <w:pPr>
              <w:rPr>
                <w:color w:val="548dd4"/>
              </w:rPr>
            </w:pPr>
            <w:r w:rsidDel="00000000" w:rsidR="00000000" w:rsidRPr="00000000">
              <w:rPr>
                <w:color w:val="548dd4"/>
                <w:rtl w:val="0"/>
              </w:rPr>
              <w:t xml:space="preserve">A monitoring dashboard for all microservices should be available</w:t>
            </w:r>
          </w:p>
        </w:tc>
      </w:tr>
    </w:tbl>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aGkyVIZxrIsrvPrzraYBG4Yhaw==">CgMxLjA4AHIhMVQ2V3RoRFRsZ0JSemlKbG52ZlgzU2tkVmxyakstS2s3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0x010100994A3583C365A040905F7C1BD675402C</vt:lpwstr>
  </property>
</Properties>
</file>