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4F37ED">
      <w:pPr>
        <w:pStyle w:val="36"/>
      </w:pPr>
      <w:r>
        <w:t>Non-Functional Requirements - Security</w:t>
      </w:r>
    </w:p>
    <w:p w14:paraId="00215485">
      <w:r>
        <w:t>This document contains NFRs categorized under Security. Each NFR is numbered sequentially.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6972"/>
      </w:tblGrid>
      <w:tr w14:paraId="2F890AB1">
        <w:tc>
          <w:tcPr>
            <w:tcW w:w="1668" w:type="dxa"/>
          </w:tcPr>
          <w:p w14:paraId="19B4287E">
            <w:pPr>
              <w:spacing w:after="0" w:line="240" w:lineRule="auto"/>
            </w:pPr>
            <w:r>
              <w:t>NFR No.</w:t>
            </w:r>
          </w:p>
        </w:tc>
        <w:tc>
          <w:tcPr>
            <w:tcW w:w="6972" w:type="dxa"/>
          </w:tcPr>
          <w:p w14:paraId="2F8229C4">
            <w:pPr>
              <w:spacing w:after="0" w:line="240" w:lineRule="auto"/>
            </w:pPr>
            <w:r>
              <w:t>Requirement</w:t>
            </w:r>
          </w:p>
        </w:tc>
      </w:tr>
      <w:tr w14:paraId="523A1BEC">
        <w:tc>
          <w:tcPr>
            <w:tcW w:w="1668" w:type="dxa"/>
          </w:tcPr>
          <w:p w14:paraId="376C0716">
            <w:pPr>
              <w:spacing w:after="0" w:line="240" w:lineRule="auto"/>
            </w:pPr>
            <w:r>
              <w:t>NFR-SEC-001</w:t>
            </w:r>
          </w:p>
        </w:tc>
        <w:tc>
          <w:tcPr>
            <w:tcW w:w="6972" w:type="dxa"/>
          </w:tcPr>
          <w:p w14:paraId="4658A837">
            <w:pPr>
              <w:spacing w:after="0" w:line="240" w:lineRule="auto"/>
            </w:pPr>
            <w:r>
              <w:t>All categories of roles and permissions must be defined at the level of user creation. These roles should support in terms of authorization to it’s users, manager, admins etc. This will also talk about how the roles are assigned and managed to ensure segregation of the users and their activities within the application</w:t>
            </w:r>
          </w:p>
        </w:tc>
      </w:tr>
      <w:tr w14:paraId="40C1A028">
        <w:tc>
          <w:tcPr>
            <w:tcW w:w="1668" w:type="dxa"/>
          </w:tcPr>
          <w:p w14:paraId="1A4E13B0">
            <w:pPr>
              <w:spacing w:after="0" w:line="240" w:lineRule="auto"/>
            </w:pPr>
            <w:r>
              <w:t>NFR-SEC-002</w:t>
            </w:r>
          </w:p>
        </w:tc>
        <w:tc>
          <w:tcPr>
            <w:tcW w:w="6972" w:type="dxa"/>
          </w:tcPr>
          <w:p w14:paraId="40561071">
            <w:pPr>
              <w:spacing w:after="0" w:line="240" w:lineRule="auto"/>
            </w:pPr>
            <w:r>
              <w:t>SSO( Single Sign-On) or MFA(Multi-Factor Authentication) feature must be implemented based on the availability/requirement. The system must support authentication with Multi-Factor Authentication (MFA) including OTP, email, SMS, and authenticator apps.</w:t>
            </w:r>
          </w:p>
        </w:tc>
      </w:tr>
      <w:tr w14:paraId="4D3DBBB9">
        <w:tc>
          <w:tcPr>
            <w:tcW w:w="1668" w:type="dxa"/>
          </w:tcPr>
          <w:p w14:paraId="5F2A07F4">
            <w:pPr>
              <w:spacing w:after="0" w:line="240" w:lineRule="auto"/>
            </w:pPr>
            <w:r>
              <w:t>NFR-SEC-003</w:t>
            </w:r>
          </w:p>
        </w:tc>
        <w:tc>
          <w:tcPr>
            <w:tcW w:w="6972" w:type="dxa"/>
          </w:tcPr>
          <w:p w14:paraId="6A800B48">
            <w:pPr>
              <w:spacing w:after="0" w:line="240" w:lineRule="auto"/>
            </w:pPr>
            <w:r>
              <w:t>RBAC – Role Based Access Control. RABC must be featured in the application to control the incoming identity using logic of App Roles, Group Roles or any custom data roles</w:t>
            </w:r>
          </w:p>
        </w:tc>
      </w:tr>
      <w:tr w14:paraId="0C45057F">
        <w:tc>
          <w:tcPr>
            <w:tcW w:w="1668" w:type="dxa"/>
          </w:tcPr>
          <w:p w14:paraId="545777A1">
            <w:pPr>
              <w:spacing w:after="0" w:line="240" w:lineRule="auto"/>
            </w:pPr>
            <w:r>
              <w:t>NFR-SEC-004</w:t>
            </w:r>
          </w:p>
        </w:tc>
        <w:tc>
          <w:tcPr>
            <w:tcW w:w="6972" w:type="dxa"/>
          </w:tcPr>
          <w:p w14:paraId="3A954A02">
            <w:pPr>
              <w:spacing w:after="0" w:line="240" w:lineRule="auto"/>
            </w:pPr>
            <w:r>
              <w:t>The application must application Security: Security measures at the application level are built into the software, such as an application firewall that strictly defines what activities are allowed and prohibited with in the application</w:t>
            </w:r>
          </w:p>
        </w:tc>
      </w:tr>
      <w:tr w14:paraId="5681D61E">
        <w:tc>
          <w:tcPr>
            <w:tcW w:w="1668" w:type="dxa"/>
          </w:tcPr>
          <w:p w14:paraId="4EF099A6">
            <w:pPr>
              <w:spacing w:after="0" w:line="240" w:lineRule="auto"/>
            </w:pPr>
            <w:r>
              <w:t>NFR-SEC-005</w:t>
            </w:r>
          </w:p>
        </w:tc>
        <w:tc>
          <w:tcPr>
            <w:tcW w:w="6972" w:type="dxa"/>
          </w:tcPr>
          <w:p w14:paraId="7F435E33">
            <w:pPr>
              <w:spacing w:after="0" w:line="240" w:lineRule="auto"/>
            </w:pPr>
            <w:r>
              <w:t>The application must data loss or data corruption preventions: Establish the secure features, including secure coding practices and also secure deploy/releasing of an application features to Prevent Data Loss or corruption. For example, Whitelisting of Dynamically Executed Code, HTTPS/SSL 2-way end to end encryption etc.</w:t>
            </w:r>
          </w:p>
        </w:tc>
      </w:tr>
      <w:tr w14:paraId="2CCF51F7">
        <w:tc>
          <w:tcPr>
            <w:tcW w:w="1668" w:type="dxa"/>
          </w:tcPr>
          <w:p w14:paraId="4E002606">
            <w:pPr>
              <w:spacing w:after="0" w:line="240" w:lineRule="auto"/>
            </w:pPr>
            <w:r>
              <w:t>NFR-SEC-006</w:t>
            </w:r>
          </w:p>
        </w:tc>
        <w:tc>
          <w:tcPr>
            <w:tcW w:w="6972" w:type="dxa"/>
          </w:tcPr>
          <w:p w14:paraId="76BF87F2">
            <w:pPr>
              <w:spacing w:after="0" w:line="240" w:lineRule="auto"/>
            </w:pPr>
            <w:r>
              <w:t>Password encryption: Since password is the key authentication factor to access any system or application, password must be stored in encryption mode</w:t>
            </w:r>
          </w:p>
        </w:tc>
      </w:tr>
      <w:tr w14:paraId="355D88C8">
        <w:tc>
          <w:tcPr>
            <w:tcW w:w="1668" w:type="dxa"/>
          </w:tcPr>
          <w:p w14:paraId="28883EBC">
            <w:pPr>
              <w:spacing w:after="0" w:line="240" w:lineRule="auto"/>
              <w:rPr>
                <w:strike w:val="0"/>
              </w:rPr>
            </w:pPr>
            <w:bookmarkStart w:id="0" w:name="_GoBack" w:colFirst="0" w:colLast="1"/>
            <w:r>
              <w:rPr>
                <w:strike w:val="0"/>
              </w:rPr>
              <w:t>NFR-SEC-007</w:t>
            </w:r>
          </w:p>
        </w:tc>
        <w:tc>
          <w:tcPr>
            <w:tcW w:w="6972" w:type="dxa"/>
          </w:tcPr>
          <w:p w14:paraId="0DDB6926">
            <w:pPr>
              <w:spacing w:after="0" w:line="240" w:lineRule="auto"/>
              <w:rPr>
                <w:strike w:val="0"/>
              </w:rPr>
            </w:pPr>
            <w:r>
              <w:rPr>
                <w:strike w:val="0"/>
              </w:rPr>
              <w:t>PINs must be made as one of the sole method of authentications to access Information Systems on which if the PINs are necessary to meet physical device constraints (e.g., EID or SID, telephone, smart card). This can be considered as one of the authentication methods after SSO and MFA</w:t>
            </w:r>
          </w:p>
        </w:tc>
      </w:tr>
      <w:bookmarkEnd w:id="0"/>
      <w:tr w14:paraId="0C6AEAF4">
        <w:tc>
          <w:tcPr>
            <w:tcW w:w="1668" w:type="dxa"/>
          </w:tcPr>
          <w:p w14:paraId="6055406A">
            <w:pPr>
              <w:spacing w:after="0" w:line="240" w:lineRule="auto"/>
            </w:pPr>
            <w:r>
              <w:t>NFR-SEC-008</w:t>
            </w:r>
          </w:p>
        </w:tc>
        <w:tc>
          <w:tcPr>
            <w:tcW w:w="6972" w:type="dxa"/>
          </w:tcPr>
          <w:p w14:paraId="41950198">
            <w:pPr>
              <w:spacing w:after="0" w:line="240" w:lineRule="auto"/>
            </w:pPr>
            <w:r>
              <w:t>Inactivity timeout for the client/user must be implemented to prevent unauthorized access of an active login session when the client/user is not active on the specific browser or application for a certain time. Activity includes any input to the endpoint (mouse, keyboard, touch screen, etc.).</w:t>
            </w:r>
          </w:p>
        </w:tc>
      </w:tr>
      <w:tr w14:paraId="7C190656">
        <w:tc>
          <w:tcPr>
            <w:tcW w:w="1668" w:type="dxa"/>
          </w:tcPr>
          <w:p w14:paraId="7CC45819">
            <w:pPr>
              <w:spacing w:after="0" w:line="240" w:lineRule="auto"/>
            </w:pPr>
            <w:r>
              <w:t>NFR-SEC-009</w:t>
            </w:r>
          </w:p>
        </w:tc>
        <w:tc>
          <w:tcPr>
            <w:tcW w:w="6972" w:type="dxa"/>
          </w:tcPr>
          <w:p w14:paraId="13749F89">
            <w:pPr>
              <w:spacing w:after="0" w:line="240" w:lineRule="auto"/>
            </w:pPr>
            <w:r>
              <w:t>Authentication credentials like user ID and password cannot be displayed. In such scenarios like save password or remember password, password must be protected and can’t be viewed by the user</w:t>
            </w:r>
          </w:p>
        </w:tc>
      </w:tr>
      <w:tr w14:paraId="2F700079">
        <w:tc>
          <w:tcPr>
            <w:tcW w:w="1668" w:type="dxa"/>
          </w:tcPr>
          <w:p w14:paraId="6714FA97">
            <w:pPr>
              <w:spacing w:after="0" w:line="240" w:lineRule="auto"/>
            </w:pPr>
            <w:r>
              <w:t>NFR-SEC-010</w:t>
            </w:r>
          </w:p>
        </w:tc>
        <w:tc>
          <w:tcPr>
            <w:tcW w:w="6972" w:type="dxa"/>
          </w:tcPr>
          <w:p w14:paraId="2ADE5BAF">
            <w:pPr>
              <w:spacing w:after="0" w:line="240" w:lineRule="auto"/>
            </w:pPr>
            <w:r>
              <w:t>The application must provide logout capability such that the users can completely log out of the application. If a user has multiple active sessions, the logout capability must terminate all sessions. After logout, the application is not accessible via the users' previous sessions. If the application is an SSO application, then it is up to each business to determine whether single sign off capability is desirable or not.</w:t>
            </w:r>
          </w:p>
        </w:tc>
      </w:tr>
      <w:tr w14:paraId="5D94CBD1">
        <w:tc>
          <w:tcPr>
            <w:tcW w:w="1668" w:type="dxa"/>
          </w:tcPr>
          <w:p w14:paraId="76CEE8C3">
            <w:pPr>
              <w:spacing w:after="0" w:line="240" w:lineRule="auto"/>
            </w:pPr>
            <w:r>
              <w:t>NFR-SEC-011</w:t>
            </w:r>
          </w:p>
        </w:tc>
        <w:tc>
          <w:tcPr>
            <w:tcW w:w="6972" w:type="dxa"/>
          </w:tcPr>
          <w:p w14:paraId="7AC473A0">
            <w:pPr>
              <w:spacing w:after="0" w:line="240" w:lineRule="auto"/>
            </w:pPr>
            <w:r>
              <w:t>User-specific entitlement information must not be built into the business logic of the application code. The Application must make authorization decisions based on roles. The mapping of roles to privileges must not be built into the business logic of the application code. Ultimately role assignment must be feasible without making an application code change. When defining roles, general purpose and widely used roles must be defined first.</w:t>
            </w:r>
          </w:p>
        </w:tc>
      </w:tr>
      <w:tr w14:paraId="655CE884">
        <w:tc>
          <w:tcPr>
            <w:tcW w:w="1668" w:type="dxa"/>
          </w:tcPr>
          <w:p w14:paraId="305BF328">
            <w:pPr>
              <w:spacing w:after="0" w:line="240" w:lineRule="auto"/>
            </w:pPr>
            <w:r>
              <w:t>NFR-SEC-012</w:t>
            </w:r>
          </w:p>
        </w:tc>
        <w:tc>
          <w:tcPr>
            <w:tcW w:w="6972" w:type="dxa"/>
          </w:tcPr>
          <w:p w14:paraId="528C2464">
            <w:pPr>
              <w:spacing w:after="0" w:line="240" w:lineRule="auto"/>
            </w:pPr>
            <w:r>
              <w:t>The application must generate its own keys for cryptographic functions. If the application utilizes technology components such as cryptographic libraries provided by a programming language or other applications specifically intended for key generation (i.e. OpenSSL), the application is considered to be generating its own keys and they should be stored in the audit log. The application team would be responsible for key lifecycle management as described in the Key Management Standard(KMS).</w:t>
            </w:r>
          </w:p>
        </w:tc>
      </w:tr>
      <w:tr w14:paraId="24D181FB">
        <w:tc>
          <w:tcPr>
            <w:tcW w:w="1668" w:type="dxa"/>
          </w:tcPr>
          <w:p w14:paraId="38510824">
            <w:pPr>
              <w:spacing w:after="0" w:line="240" w:lineRule="auto"/>
            </w:pPr>
            <w:r>
              <w:t>NFR-SEC-013</w:t>
            </w:r>
          </w:p>
        </w:tc>
        <w:tc>
          <w:tcPr>
            <w:tcW w:w="6972" w:type="dxa"/>
          </w:tcPr>
          <w:p w14:paraId="17B20E0B">
            <w:pPr>
              <w:spacing w:after="0" w:line="240" w:lineRule="auto"/>
            </w:pPr>
            <w:r>
              <w:t>The application must password Based Encryption (PBE): Passkey used for Password Based Encryption (PBE) must have the following length/complexity: Information classified as Confidential, or higher relating to a single customer sent to that customer (including eStatements): minimum 8 alphanumeric characters including at least one upper and one lower case letter. In cases where character case is not supported, minimum length of 9 alphanumeric characters. All other instances of Information classified as Confidential, or higher including sending the information relating to the multiple users/customer/individuals, complexity of the password will be defined.</w:t>
            </w:r>
          </w:p>
        </w:tc>
      </w:tr>
      <w:tr w14:paraId="68B7530B">
        <w:tc>
          <w:tcPr>
            <w:tcW w:w="1668" w:type="dxa"/>
          </w:tcPr>
          <w:p w14:paraId="147446B0">
            <w:pPr>
              <w:spacing w:after="0" w:line="240" w:lineRule="auto"/>
            </w:pPr>
            <w:r>
              <w:t>NFR-SEC-014</w:t>
            </w:r>
          </w:p>
        </w:tc>
        <w:tc>
          <w:tcPr>
            <w:tcW w:w="6972" w:type="dxa"/>
          </w:tcPr>
          <w:p w14:paraId="4BC892DF">
            <w:pPr>
              <w:spacing w:after="0" w:line="240" w:lineRule="auto"/>
            </w:pPr>
            <w:r>
              <w:t>Signing Key Pair Generation: The application must not generate private keys on its own. Only Cryptographic algorithms defined in the Approved Security Protocols and Cryptographic Algorithm Standard (ASPCAS) must be used to generate private keys/signing key pairs.</w:t>
            </w:r>
          </w:p>
        </w:tc>
      </w:tr>
      <w:tr w14:paraId="05BBA137">
        <w:tc>
          <w:tcPr>
            <w:tcW w:w="1668" w:type="dxa"/>
          </w:tcPr>
          <w:p w14:paraId="5BF9CBA0">
            <w:pPr>
              <w:spacing w:after="0" w:line="240" w:lineRule="auto"/>
            </w:pPr>
            <w:r>
              <w:t>NFR-SEC-015</w:t>
            </w:r>
          </w:p>
        </w:tc>
        <w:tc>
          <w:tcPr>
            <w:tcW w:w="6972" w:type="dxa"/>
          </w:tcPr>
          <w:p w14:paraId="190591EB">
            <w:pPr>
              <w:spacing w:after="0" w:line="240" w:lineRule="auto"/>
            </w:pPr>
            <w:r>
              <w:t>The application must online Key Distribution: When cryptographic keys are distributed electronically to another party, an approved secure protocol must be used to maintain data confidentiality and prevent unauthorized access or hijacking of the keys</w:t>
            </w:r>
          </w:p>
        </w:tc>
      </w:tr>
      <w:tr w14:paraId="7196E42E">
        <w:tc>
          <w:tcPr>
            <w:tcW w:w="1668" w:type="dxa"/>
          </w:tcPr>
          <w:p w14:paraId="0A248157">
            <w:pPr>
              <w:spacing w:after="0" w:line="240" w:lineRule="auto"/>
            </w:pPr>
            <w:r>
              <w:t>NFR-SEC-016</w:t>
            </w:r>
          </w:p>
        </w:tc>
        <w:tc>
          <w:tcPr>
            <w:tcW w:w="6972" w:type="dxa"/>
          </w:tcPr>
          <w:p w14:paraId="3582AF96">
            <w:pPr>
              <w:spacing w:after="0" w:line="240" w:lineRule="auto"/>
            </w:pPr>
            <w:r>
              <w:t>The application must manual Key loading process: When a manual key loading process is used to inject cryptographic keys (e.g. a device master key for an HSM) for a high-risk application or HSM, dual control with split knowledge must be embedded within the process to ensure that underlying keys cannot be accessed or derived by any single person or key custodian. By dual control with split knowledge, the key is derived from two or more independent key components that are injected by separate key custodians who do not have knowledge of other key components.</w:t>
            </w:r>
          </w:p>
        </w:tc>
      </w:tr>
      <w:tr w14:paraId="0F63FFBF">
        <w:tc>
          <w:tcPr>
            <w:tcW w:w="1668" w:type="dxa"/>
          </w:tcPr>
          <w:p w14:paraId="44BCBEFC">
            <w:pPr>
              <w:spacing w:after="0" w:line="240" w:lineRule="auto"/>
            </w:pPr>
            <w:r>
              <w:t>NFR-SEC-017</w:t>
            </w:r>
          </w:p>
        </w:tc>
        <w:tc>
          <w:tcPr>
            <w:tcW w:w="6972" w:type="dxa"/>
          </w:tcPr>
          <w:p w14:paraId="17F79035">
            <w:pPr>
              <w:spacing w:after="0" w:line="240" w:lineRule="auto"/>
            </w:pPr>
            <w:r>
              <w:t>PBE password distribution: PBE-protected data and the PBE password must be distributed to the recipient(s) with separate methods to prevent the data and the password from being intercepted or compromised with the same method. For instance, if the PBE protected data is distributed via email, the PBE password must be distributed with another method other than email (e.g., phone call, online registration or post mail, etc.). If that is not feasible, Maker/checker or dual control for administration actions such as account creation/modification and entitlement management is required for change control and separation of duties.</w:t>
            </w:r>
          </w:p>
        </w:tc>
      </w:tr>
      <w:tr w14:paraId="19462910">
        <w:tc>
          <w:tcPr>
            <w:tcW w:w="1668" w:type="dxa"/>
          </w:tcPr>
          <w:p w14:paraId="0A570899">
            <w:pPr>
              <w:spacing w:after="0" w:line="240" w:lineRule="auto"/>
            </w:pPr>
            <w:r>
              <w:t>NFR-SEC-018</w:t>
            </w:r>
          </w:p>
        </w:tc>
        <w:tc>
          <w:tcPr>
            <w:tcW w:w="6972" w:type="dxa"/>
          </w:tcPr>
          <w:p w14:paraId="47F190A0">
            <w:pPr>
              <w:spacing w:after="0" w:line="240" w:lineRule="auto"/>
            </w:pPr>
            <w:r>
              <w:t>The application must certificates Validation: If the application accepts certificates for signatures or authentication, it must ensure that an up-to-date certificate revocation list (CRL) would be used to verify the validity of the certificate received in the event an on-line certificate validation mechanism via OCSP or SCVP is not available</w:t>
            </w:r>
          </w:p>
        </w:tc>
      </w:tr>
      <w:tr w14:paraId="397F3537">
        <w:tc>
          <w:tcPr>
            <w:tcW w:w="1668" w:type="dxa"/>
          </w:tcPr>
          <w:p w14:paraId="33A2039C">
            <w:pPr>
              <w:spacing w:after="0" w:line="240" w:lineRule="auto"/>
            </w:pPr>
            <w:r>
              <w:t>NFR-SEC-019</w:t>
            </w:r>
          </w:p>
        </w:tc>
        <w:tc>
          <w:tcPr>
            <w:tcW w:w="6972" w:type="dxa"/>
          </w:tcPr>
          <w:p w14:paraId="6971455F">
            <w:pPr>
              <w:spacing w:after="0" w:line="240" w:lineRule="auto"/>
            </w:pPr>
            <w:r>
              <w:t>Key Backup and Archiving. If the application is subject to supervisory or data retention requirements, there must be a process in place for backup and archiving of the data (including passkeys, basic info of the user/customer) used to encrypt the data which is being retained. Recovery must be enforced, such that all encrypted messages or data can be decrypted and recorded in the log for audit evidences</w:t>
            </w:r>
          </w:p>
        </w:tc>
      </w:tr>
      <w:tr w14:paraId="55BB45DE">
        <w:tc>
          <w:tcPr>
            <w:tcW w:w="1668" w:type="dxa"/>
          </w:tcPr>
          <w:p w14:paraId="60294171">
            <w:pPr>
              <w:spacing w:after="0" w:line="240" w:lineRule="auto"/>
            </w:pPr>
            <w:r>
              <w:t>NFR-SEC-020</w:t>
            </w:r>
          </w:p>
        </w:tc>
        <w:tc>
          <w:tcPr>
            <w:tcW w:w="6972" w:type="dxa"/>
          </w:tcPr>
          <w:p w14:paraId="29C06A50">
            <w:pPr>
              <w:spacing w:after="0" w:line="240" w:lineRule="auto"/>
            </w:pPr>
            <w:r>
              <w:t>The application must ensure that the application contains online forms which are available pre-authentication (e.g. registration, customer feedback, etc.), the following mechanisms should be implemented: CAPTCHA, or equivalent, on the initial page of the online registration, Pre-authentication pages should be tested for DoS (Denial of Service) attacks to ensure capacity is adequate, the online form must follow Secure Coding Guidelines (i.e., user input validation for special characters, SQL statements, etc.</w:t>
            </w:r>
          </w:p>
        </w:tc>
      </w:tr>
      <w:tr w14:paraId="34F7DC9C">
        <w:tc>
          <w:tcPr>
            <w:tcW w:w="1668" w:type="dxa"/>
          </w:tcPr>
          <w:p w14:paraId="0C744871">
            <w:pPr>
              <w:spacing w:after="0" w:line="240" w:lineRule="auto"/>
            </w:pPr>
            <w:r>
              <w:t>NFR-SEC-021</w:t>
            </w:r>
          </w:p>
        </w:tc>
        <w:tc>
          <w:tcPr>
            <w:tcW w:w="6972" w:type="dxa"/>
          </w:tcPr>
          <w:p w14:paraId="640BD504">
            <w:pPr>
              <w:spacing w:after="0" w:line="240" w:lineRule="auto"/>
            </w:pPr>
            <w:r>
              <w:t>The application must ensure that the application contains online forms which are available pre-authentication (e.g. registration, customer feedback, etc.), the following mechanisms should be implemented: CAPTCHA, or equivalent, on the initial page of the online registration, Pre-authentication pages should be tested for DoS (Denial of Service) attacks to ensure capacity is adequate, the online form must follow Secure Coding Guidelines (i.e., user input validation for special characters, SQL statements, etc.)</w:t>
            </w:r>
          </w:p>
        </w:tc>
      </w:tr>
      <w:tr w14:paraId="68C6BF92">
        <w:tc>
          <w:tcPr>
            <w:tcW w:w="1668" w:type="dxa"/>
          </w:tcPr>
          <w:p w14:paraId="23D72491">
            <w:pPr>
              <w:spacing w:after="0" w:line="240" w:lineRule="auto"/>
            </w:pPr>
            <w:r>
              <w:t>NFR-SEC-022</w:t>
            </w:r>
          </w:p>
        </w:tc>
        <w:tc>
          <w:tcPr>
            <w:tcW w:w="6972" w:type="dxa"/>
          </w:tcPr>
          <w:p w14:paraId="0FA284A1">
            <w:pPr>
              <w:spacing w:after="0" w:line="240" w:lineRule="auto"/>
            </w:pPr>
            <w:r>
              <w:t>The application must prevent storing of confidential and above data that persistently stored on a system in the DMZ. Persistently stored means storage beyond the session lifetime.</w:t>
            </w:r>
          </w:p>
        </w:tc>
      </w:tr>
      <w:tr w14:paraId="217A04B7">
        <w:tc>
          <w:tcPr>
            <w:tcW w:w="1668" w:type="dxa"/>
          </w:tcPr>
          <w:p w14:paraId="2BB02EE3">
            <w:pPr>
              <w:spacing w:after="0" w:line="240" w:lineRule="auto"/>
            </w:pPr>
            <w:r>
              <w:t>NFR-SEC-023</w:t>
            </w:r>
          </w:p>
        </w:tc>
        <w:tc>
          <w:tcPr>
            <w:tcW w:w="6972" w:type="dxa"/>
          </w:tcPr>
          <w:p w14:paraId="2103950E">
            <w:pPr>
              <w:spacing w:after="0" w:line="240" w:lineRule="auto"/>
            </w:pPr>
            <w:r>
              <w:t>System-to-System Authentication. Authentication mechanism must be implemented for system-to-system communication (e.g., IP address, Functional ID/password, digital certificate, token) commensurate with the risk of the data being transferred. This platform must authenticate the identity of Users or systems accessing these platforms prior to initiating a session or transaction unless the User or System is entitled only to read Internal or Public data on these platforms.</w:t>
            </w:r>
          </w:p>
        </w:tc>
      </w:tr>
      <w:tr w14:paraId="47F42E11">
        <w:tc>
          <w:tcPr>
            <w:tcW w:w="1668" w:type="dxa"/>
          </w:tcPr>
          <w:p w14:paraId="6113B705">
            <w:pPr>
              <w:spacing w:after="0" w:line="240" w:lineRule="auto"/>
            </w:pPr>
            <w:r>
              <w:t>NFR-SEC-024</w:t>
            </w:r>
          </w:p>
        </w:tc>
        <w:tc>
          <w:tcPr>
            <w:tcW w:w="6972" w:type="dxa"/>
          </w:tcPr>
          <w:p w14:paraId="4C613327">
            <w:pPr>
              <w:spacing w:after="0" w:line="240" w:lineRule="auto"/>
            </w:pPr>
            <w:r>
              <w:t>Web Login: The login page must be on the version of SSL/TLS to protect authentication credentials in transit. The login page must implement approved cryptographic algorithms and key lengths to protect authentication credentials in transit. Authentication credentials are transmitted via regular HTTP (unencrypted) or unapproved algorithms are also contained within the negotiable cipher suites.</w:t>
            </w:r>
          </w:p>
        </w:tc>
      </w:tr>
      <w:tr w14:paraId="3D9C2B1C">
        <w:tc>
          <w:tcPr>
            <w:tcW w:w="1668" w:type="dxa"/>
          </w:tcPr>
          <w:p w14:paraId="7D982647">
            <w:pPr>
              <w:spacing w:after="0" w:line="240" w:lineRule="auto"/>
            </w:pPr>
            <w:r>
              <w:t>NFR-SEC-025</w:t>
            </w:r>
          </w:p>
        </w:tc>
        <w:tc>
          <w:tcPr>
            <w:tcW w:w="6972" w:type="dxa"/>
          </w:tcPr>
          <w:p w14:paraId="51016568">
            <w:pPr>
              <w:spacing w:after="0" w:line="240" w:lineRule="auto"/>
            </w:pPr>
            <w:r>
              <w:t>Session Identifier Generation: The application must generate session identifiers (IDs) using a cryptographically secure pseudo-random number generator</w:t>
            </w:r>
          </w:p>
        </w:tc>
      </w:tr>
      <w:tr w14:paraId="287EF318">
        <w:tc>
          <w:tcPr>
            <w:tcW w:w="1668" w:type="dxa"/>
          </w:tcPr>
          <w:p w14:paraId="2B2EB354">
            <w:pPr>
              <w:spacing w:after="0" w:line="240" w:lineRule="auto"/>
            </w:pPr>
            <w:r>
              <w:t>NFR-SEC-026</w:t>
            </w:r>
          </w:p>
        </w:tc>
        <w:tc>
          <w:tcPr>
            <w:tcW w:w="6972" w:type="dxa"/>
          </w:tcPr>
          <w:p w14:paraId="39A27568">
            <w:pPr>
              <w:spacing w:after="0" w:line="240" w:lineRule="auto"/>
            </w:pPr>
            <w:r>
              <w:t>Session Identifier Passage: The application must prevent session identifiers from being passed over unencrypted channels. If session IDs are used to track session states, then session IDs or cookies containing session IDs must be passed via encrypted channels (e.g., SSL/TLS) to prevent eavesdropping.</w:t>
            </w:r>
          </w:p>
        </w:tc>
      </w:tr>
      <w:tr w14:paraId="00877D67">
        <w:tc>
          <w:tcPr>
            <w:tcW w:w="1668" w:type="dxa"/>
          </w:tcPr>
          <w:p w14:paraId="2940B12B">
            <w:pPr>
              <w:spacing w:after="0" w:line="240" w:lineRule="auto"/>
            </w:pPr>
            <w:r>
              <w:t>NFR-SEC-027</w:t>
            </w:r>
          </w:p>
        </w:tc>
        <w:tc>
          <w:tcPr>
            <w:tcW w:w="6972" w:type="dxa"/>
          </w:tcPr>
          <w:p w14:paraId="31D9831B">
            <w:pPr>
              <w:spacing w:after="0" w:line="240" w:lineRule="auto"/>
            </w:pPr>
            <w:r>
              <w:t>Session Identifier Manipulation: Application must prevent users from manipulating session identifiers that are being passed in query strings or form fields. Session IDs must not be passed via query strings or form fields because they can be easily modified by the users in an attempt to impersonate other users.</w:t>
            </w:r>
          </w:p>
        </w:tc>
      </w:tr>
      <w:tr w14:paraId="58018855">
        <w:tc>
          <w:tcPr>
            <w:tcW w:w="1668" w:type="dxa"/>
          </w:tcPr>
          <w:p w14:paraId="68E27CAE">
            <w:pPr>
              <w:spacing w:after="0" w:line="240" w:lineRule="auto"/>
            </w:pPr>
            <w:r>
              <w:t>NFR-SEC-028</w:t>
            </w:r>
          </w:p>
        </w:tc>
        <w:tc>
          <w:tcPr>
            <w:tcW w:w="6972" w:type="dxa"/>
          </w:tcPr>
          <w:p w14:paraId="53D61C1E">
            <w:pPr>
              <w:spacing w:after="0" w:line="240" w:lineRule="auto"/>
            </w:pPr>
            <w:r>
              <w:t>Session (authentication) cookies must be encrypted in transit to prevent session cookies from being stolen. Session cookies should also be set with the secure flag to ensure they are only transmitted over a secure channel. Session cookies values that are created in insecure sessions should not be inherited in secure session cookies.</w:t>
            </w:r>
          </w:p>
        </w:tc>
      </w:tr>
      <w:tr w14:paraId="1FFE8507">
        <w:tc>
          <w:tcPr>
            <w:tcW w:w="1668" w:type="dxa"/>
          </w:tcPr>
          <w:p w14:paraId="4DD81220">
            <w:pPr>
              <w:spacing w:after="0" w:line="240" w:lineRule="auto"/>
            </w:pPr>
            <w:r>
              <w:t>NFR-SEC-029</w:t>
            </w:r>
          </w:p>
        </w:tc>
        <w:tc>
          <w:tcPr>
            <w:tcW w:w="6972" w:type="dxa"/>
          </w:tcPr>
          <w:p w14:paraId="753C2904">
            <w:pPr>
              <w:spacing w:after="0" w:line="240" w:lineRule="auto"/>
            </w:pPr>
            <w:r>
              <w:t>Secure Cookies: Application uses cookies containing Confidential or higher information; the cookies must be marked as secured so that the cookies are sent only over encrypted channels. And ensure the cookies encrypted using an approved algorithm. Also, make sure cookies non-persistent (expire at the end of the session)</w:t>
            </w:r>
          </w:p>
        </w:tc>
      </w:tr>
      <w:tr w14:paraId="25E7961F">
        <w:tc>
          <w:tcPr>
            <w:tcW w:w="1668" w:type="dxa"/>
          </w:tcPr>
          <w:p w14:paraId="024219B7">
            <w:pPr>
              <w:spacing w:after="0" w:line="240" w:lineRule="auto"/>
            </w:pPr>
            <w:r>
              <w:t>NFR-SEC-030</w:t>
            </w:r>
          </w:p>
        </w:tc>
        <w:tc>
          <w:tcPr>
            <w:tcW w:w="6972" w:type="dxa"/>
          </w:tcPr>
          <w:p w14:paraId="3CE12F7D">
            <w:pPr>
              <w:spacing w:after="0" w:line="240" w:lineRule="auto"/>
            </w:pPr>
            <w:r>
              <w:t>Input Validation: Application must perform server side validation of the user supplied input. Web applications that loosely perform input validation could be exploited by the following attacks: buffer overflow, cross-site scripting (XSS), SQL injection, code injection, denial of service, and elevation of privileges. Input is validated to check for valid types, formats, lengths, and ranges, and to reject invalid input. This is more critical if input filenames, URLs or user names are used for security decisions. Input validation must be performed on the server side instead of on the client side to prevent it from being bypassed.</w:t>
            </w:r>
          </w:p>
        </w:tc>
      </w:tr>
      <w:tr w14:paraId="5C32B036">
        <w:tc>
          <w:tcPr>
            <w:tcW w:w="1668" w:type="dxa"/>
          </w:tcPr>
          <w:p w14:paraId="4076E739">
            <w:pPr>
              <w:spacing w:after="0" w:line="240" w:lineRule="auto"/>
            </w:pPr>
            <w:r>
              <w:t>NFR-SEC-031</w:t>
            </w:r>
          </w:p>
        </w:tc>
        <w:tc>
          <w:tcPr>
            <w:tcW w:w="6972" w:type="dxa"/>
          </w:tcPr>
          <w:p w14:paraId="2C9145E2">
            <w:pPr>
              <w:spacing w:after="0" w:line="240" w:lineRule="auto"/>
            </w:pPr>
            <w:r>
              <w:t>Database Authentication: Application must use a common database Functional ID to connect to the database rather than passing through end user credentials to the database for access</w:t>
            </w:r>
          </w:p>
        </w:tc>
      </w:tr>
      <w:tr w14:paraId="7A6B0D64">
        <w:tc>
          <w:tcPr>
            <w:tcW w:w="1668" w:type="dxa"/>
          </w:tcPr>
          <w:p w14:paraId="1F9F01E7">
            <w:pPr>
              <w:spacing w:after="0" w:line="240" w:lineRule="auto"/>
            </w:pPr>
            <w:r>
              <w:t>NFR-SEC-032</w:t>
            </w:r>
          </w:p>
        </w:tc>
        <w:tc>
          <w:tcPr>
            <w:tcW w:w="6972" w:type="dxa"/>
          </w:tcPr>
          <w:p w14:paraId="3218BF2E">
            <w:pPr>
              <w:spacing w:after="0" w:line="240" w:lineRule="auto"/>
            </w:pPr>
            <w:r>
              <w:t>Database Password Protection in Storage: Database connection strings contain authentication data and, therefore, must be encrypted in storage. Encrypted connection strings and encryption keys must be protected. The function of decrypting connection strings should not be a standalone utility to prevent the connection strings from being decrypted and displayed in the clear. Instead, it must be embedded into or fully integrated within the application</w:t>
            </w:r>
          </w:p>
        </w:tc>
      </w:tr>
      <w:tr w14:paraId="3884A4C2">
        <w:tc>
          <w:tcPr>
            <w:tcW w:w="1668" w:type="dxa"/>
          </w:tcPr>
          <w:p w14:paraId="77EDB2AE">
            <w:pPr>
              <w:spacing w:after="0" w:line="240" w:lineRule="auto"/>
            </w:pPr>
            <w:r>
              <w:t>NFR-SEC-033</w:t>
            </w:r>
          </w:p>
        </w:tc>
        <w:tc>
          <w:tcPr>
            <w:tcW w:w="6972" w:type="dxa"/>
          </w:tcPr>
          <w:p w14:paraId="74ECB911">
            <w:pPr>
              <w:spacing w:after="0" w:line="240" w:lineRule="auto"/>
            </w:pPr>
            <w:r>
              <w:t>Database Password Protection in Transit: Application must enable/implement a secure protocol (e.g., SSL) to protect database passwords in transit</w:t>
            </w:r>
          </w:p>
        </w:tc>
      </w:tr>
      <w:tr w14:paraId="193286EE">
        <w:tc>
          <w:tcPr>
            <w:tcW w:w="1668" w:type="dxa"/>
          </w:tcPr>
          <w:p w14:paraId="53B16963">
            <w:pPr>
              <w:spacing w:after="0" w:line="240" w:lineRule="auto"/>
            </w:pPr>
            <w:r>
              <w:t>NFR-SEC-034</w:t>
            </w:r>
          </w:p>
        </w:tc>
        <w:tc>
          <w:tcPr>
            <w:tcW w:w="6972" w:type="dxa"/>
          </w:tcPr>
          <w:p w14:paraId="5824DCAC">
            <w:pPr>
              <w:spacing w:after="0" w:line="240" w:lineRule="auto"/>
            </w:pPr>
            <w:r>
              <w:t>Database Authorization: If the application uses a common database Functional ID, the application must conduct authorization checks on user actions for more granular user access control to the database</w:t>
            </w:r>
          </w:p>
        </w:tc>
      </w:tr>
      <w:tr w14:paraId="70BD429F">
        <w:tc>
          <w:tcPr>
            <w:tcW w:w="1668" w:type="dxa"/>
          </w:tcPr>
          <w:p w14:paraId="426F2723">
            <w:pPr>
              <w:spacing w:after="0" w:line="240" w:lineRule="auto"/>
            </w:pPr>
            <w:r>
              <w:t>NFR-SEC-035</w:t>
            </w:r>
          </w:p>
        </w:tc>
        <w:tc>
          <w:tcPr>
            <w:tcW w:w="6972" w:type="dxa"/>
          </w:tcPr>
          <w:p w14:paraId="3D3D38EA">
            <w:pPr>
              <w:spacing w:after="0" w:line="240" w:lineRule="auto"/>
            </w:pPr>
            <w:r>
              <w:t>The application must sensitive Data Protection: Does the application encrypt sensitive data such as PII , authentication data and business sensitive information during transit</w:t>
            </w:r>
          </w:p>
        </w:tc>
      </w:tr>
      <w:tr w14:paraId="2112011A">
        <w:tc>
          <w:tcPr>
            <w:tcW w:w="1668" w:type="dxa"/>
          </w:tcPr>
          <w:p w14:paraId="27B1B0E5">
            <w:pPr>
              <w:spacing w:after="0" w:line="240" w:lineRule="auto"/>
            </w:pPr>
            <w:r>
              <w:t>NFR-SEC-036</w:t>
            </w:r>
          </w:p>
        </w:tc>
        <w:tc>
          <w:tcPr>
            <w:tcW w:w="6972" w:type="dxa"/>
          </w:tcPr>
          <w:p w14:paraId="66DC00A7">
            <w:pPr>
              <w:spacing w:after="0" w:line="240" w:lineRule="auto"/>
            </w:pPr>
            <w:r>
              <w:t>The application must sensitive Data Protection at Rest. Does the application encrypt sensitive data such as PII, authentication data and business sensitive information during storage?</w:t>
            </w:r>
          </w:p>
        </w:tc>
      </w:tr>
      <w:tr w14:paraId="30BE7658">
        <w:tc>
          <w:tcPr>
            <w:tcW w:w="1668" w:type="dxa"/>
          </w:tcPr>
          <w:p w14:paraId="4AC114A4">
            <w:pPr>
              <w:spacing w:after="0" w:line="240" w:lineRule="auto"/>
            </w:pPr>
            <w:r>
              <w:t>NFR-SEC-037</w:t>
            </w:r>
          </w:p>
        </w:tc>
        <w:tc>
          <w:tcPr>
            <w:tcW w:w="6972" w:type="dxa"/>
          </w:tcPr>
          <w:p w14:paraId="6C41BB61">
            <w:pPr>
              <w:spacing w:after="0" w:line="240" w:lineRule="auto"/>
            </w:pPr>
            <w:r>
              <w:t>The application must ensure that the application contains online forms which are available pre-authentication (e.g. registration, customer feedback, etc.), the following mechanisms need to be implemented: CAPTCHA, or equivalent, on the initial page of the online registration, Pre-authentication pages should be tested for DoS (Denial of Service) attacks to ensure capacity is adequate, the online form must follow Secure Coding Guidelines (i.e., user input validation for special characters, SQL statements, etc.)</w:t>
            </w:r>
          </w:p>
        </w:tc>
      </w:tr>
      <w:tr w14:paraId="3B0E8205">
        <w:tc>
          <w:tcPr>
            <w:tcW w:w="1668" w:type="dxa"/>
          </w:tcPr>
          <w:p w14:paraId="15CEDC6C">
            <w:pPr>
              <w:spacing w:after="0" w:line="240" w:lineRule="auto"/>
            </w:pPr>
            <w:r>
              <w:t>NFR-SEC-038</w:t>
            </w:r>
          </w:p>
        </w:tc>
        <w:tc>
          <w:tcPr>
            <w:tcW w:w="6972" w:type="dxa"/>
          </w:tcPr>
          <w:p w14:paraId="3BEAD587">
            <w:pPr>
              <w:spacing w:after="0" w:line="240" w:lineRule="auto"/>
            </w:pPr>
            <w:r>
              <w:t>The application must the login page must implement approved cryptographic algorithms and key lengths to protect authentication credentials in transit. Authentication credentials are transmitted via regular HTTP (unencrypted) or unapproved algorithms are also contained within the negotiable ciphersuites.</w:t>
            </w:r>
          </w:p>
        </w:tc>
      </w:tr>
      <w:tr w14:paraId="211ED9DD">
        <w:tc>
          <w:tcPr>
            <w:tcW w:w="1668" w:type="dxa"/>
          </w:tcPr>
          <w:p w14:paraId="369EDBD3">
            <w:pPr>
              <w:spacing w:after="0" w:line="240" w:lineRule="auto"/>
            </w:pPr>
            <w:r>
              <w:t>NFR-SEC-039</w:t>
            </w:r>
          </w:p>
        </w:tc>
        <w:tc>
          <w:tcPr>
            <w:tcW w:w="6972" w:type="dxa"/>
          </w:tcPr>
          <w:p w14:paraId="0763F79C">
            <w:pPr>
              <w:spacing w:after="0" w:line="240" w:lineRule="auto"/>
            </w:pPr>
            <w:r>
              <w:t>Session Identifier Generation: The application must generate session identifiers (IDs) using a cryptographically secure pseudo-random number generator and also must prevent session identifiers from being passed over unencrypted channels</w:t>
            </w:r>
          </w:p>
        </w:tc>
      </w:tr>
      <w:tr w14:paraId="698FC456">
        <w:tc>
          <w:tcPr>
            <w:tcW w:w="1668" w:type="dxa"/>
          </w:tcPr>
          <w:p w14:paraId="3798C3FC">
            <w:pPr>
              <w:spacing w:after="0" w:line="240" w:lineRule="auto"/>
            </w:pPr>
            <w:r>
              <w:t>NFR-SEC-040</w:t>
            </w:r>
          </w:p>
        </w:tc>
        <w:tc>
          <w:tcPr>
            <w:tcW w:w="6972" w:type="dxa"/>
          </w:tcPr>
          <w:p w14:paraId="7AA36612">
            <w:pPr>
              <w:spacing w:after="0" w:line="240" w:lineRule="auto"/>
            </w:pPr>
            <w:r>
              <w:t>Session Identifier Manipulation: The application must prevent users from manipulating session identifiers that are being passed in query strings or form fields?</w:t>
            </w:r>
          </w:p>
        </w:tc>
      </w:tr>
      <w:tr w14:paraId="05BFE2F0">
        <w:tc>
          <w:tcPr>
            <w:tcW w:w="1668" w:type="dxa"/>
          </w:tcPr>
          <w:p w14:paraId="4B6C0490">
            <w:pPr>
              <w:spacing w:after="0" w:line="240" w:lineRule="auto"/>
            </w:pPr>
            <w:r>
              <w:t>NFR-SEC-041</w:t>
            </w:r>
          </w:p>
        </w:tc>
        <w:tc>
          <w:tcPr>
            <w:tcW w:w="6972" w:type="dxa"/>
          </w:tcPr>
          <w:p w14:paraId="09F7E2AE">
            <w:pPr>
              <w:spacing w:after="0" w:line="240" w:lineRule="auto"/>
            </w:pPr>
            <w:r>
              <w:t>The application must secure Cookies: If the application uses cookies containing Confidential or higher information, following must be implemented a) the cookies marked secured so that the cookies are sent only over encrypted channels b) the cookies encrypted using a approved algorithm. c) the cookies non-persistent (expire at the end of the session)</w:t>
            </w:r>
          </w:p>
        </w:tc>
      </w:tr>
      <w:tr w14:paraId="2E77851F">
        <w:tc>
          <w:tcPr>
            <w:tcW w:w="1668" w:type="dxa"/>
          </w:tcPr>
          <w:p w14:paraId="2D71CDBB">
            <w:pPr>
              <w:spacing w:after="0" w:line="240" w:lineRule="auto"/>
            </w:pPr>
            <w:r>
              <w:t>NFR-SEC-042</w:t>
            </w:r>
          </w:p>
        </w:tc>
        <w:tc>
          <w:tcPr>
            <w:tcW w:w="6972" w:type="dxa"/>
          </w:tcPr>
          <w:p w14:paraId="01EE4FC9">
            <w:pPr>
              <w:spacing w:after="0" w:line="240" w:lineRule="auto"/>
            </w:pPr>
            <w:r>
              <w:t>Sensitive Data Protection: The application must encrypt sensitive data such as PII, authentication data and business sensitive information during transit</w:t>
            </w:r>
          </w:p>
        </w:tc>
      </w:tr>
      <w:tr w14:paraId="0D6FF65E">
        <w:tc>
          <w:tcPr>
            <w:tcW w:w="1668" w:type="dxa"/>
          </w:tcPr>
          <w:p w14:paraId="3A3ACB75">
            <w:pPr>
              <w:spacing w:after="0" w:line="240" w:lineRule="auto"/>
            </w:pPr>
            <w:r>
              <w:t>NFR-SEC-043</w:t>
            </w:r>
          </w:p>
        </w:tc>
        <w:tc>
          <w:tcPr>
            <w:tcW w:w="6972" w:type="dxa"/>
          </w:tcPr>
          <w:p w14:paraId="7C9C2623">
            <w:pPr>
              <w:spacing w:after="0" w:line="240" w:lineRule="auto"/>
            </w:pPr>
            <w:r>
              <w:t>Sensitive Data Logging Prevention: The application must exclude the logging of sensitive information such as PINs and passwords especially in transaction and interface logs</w:t>
            </w:r>
          </w:p>
        </w:tc>
      </w:tr>
      <w:tr w14:paraId="48F89AF0">
        <w:tc>
          <w:tcPr>
            <w:tcW w:w="1668" w:type="dxa"/>
          </w:tcPr>
          <w:p w14:paraId="1B4B2C1F">
            <w:pPr>
              <w:spacing w:after="0" w:line="240" w:lineRule="auto"/>
            </w:pPr>
            <w:r>
              <w:t>NFR-SEC-044</w:t>
            </w:r>
          </w:p>
        </w:tc>
        <w:tc>
          <w:tcPr>
            <w:tcW w:w="6972" w:type="dxa"/>
          </w:tcPr>
          <w:p w14:paraId="2DE86F0A">
            <w:pPr>
              <w:spacing w:after="0" w:line="240" w:lineRule="auto"/>
            </w:pPr>
            <w:r>
              <w:t>PIN/Password Display: The application must prevent the echo of the PIN/Password upon entry</w:t>
            </w:r>
          </w:p>
        </w:tc>
      </w:tr>
      <w:tr w14:paraId="59C0D284">
        <w:tc>
          <w:tcPr>
            <w:tcW w:w="1668" w:type="dxa"/>
          </w:tcPr>
          <w:p w14:paraId="045CCDE5">
            <w:pPr>
              <w:spacing w:after="0" w:line="240" w:lineRule="auto"/>
            </w:pPr>
            <w:r>
              <w:t>NFR-SEC-045</w:t>
            </w:r>
          </w:p>
        </w:tc>
        <w:tc>
          <w:tcPr>
            <w:tcW w:w="6972" w:type="dxa"/>
          </w:tcPr>
          <w:p w14:paraId="77538276">
            <w:pPr>
              <w:spacing w:after="0" w:line="240" w:lineRule="auto"/>
            </w:pPr>
            <w:r>
              <w:t>The application must secure Cookies: The application must set both the Secure and HTTP Only flags for cookies which contain the session ID</w:t>
            </w:r>
          </w:p>
        </w:tc>
      </w:tr>
      <w:tr w14:paraId="3AB05FB3">
        <w:tc>
          <w:tcPr>
            <w:tcW w:w="1668" w:type="dxa"/>
          </w:tcPr>
          <w:p w14:paraId="5558F049">
            <w:pPr>
              <w:spacing w:after="0" w:line="240" w:lineRule="auto"/>
            </w:pPr>
            <w:r>
              <w:t>NFR-SEC-046</w:t>
            </w:r>
          </w:p>
        </w:tc>
        <w:tc>
          <w:tcPr>
            <w:tcW w:w="6972" w:type="dxa"/>
          </w:tcPr>
          <w:p w14:paraId="500714A8">
            <w:pPr>
              <w:spacing w:after="0" w:line="240" w:lineRule="auto"/>
            </w:pPr>
            <w:r>
              <w:t>SMS as Receiver of OTP/OAC: If SMS is used as a receiver of One-Time Password (OTP)/Online Authorization Codes (OAC) tokens, tokens must featue the following: 1. have a minimum length of 6 characters 2. have a Time-to-Live (TTL) not exceeding 600 seconds</w:t>
            </w:r>
          </w:p>
        </w:tc>
      </w:tr>
      <w:tr w14:paraId="74C90252">
        <w:tc>
          <w:tcPr>
            <w:tcW w:w="1668" w:type="dxa"/>
          </w:tcPr>
          <w:p w14:paraId="1B543ABC">
            <w:pPr>
              <w:spacing w:after="0" w:line="240" w:lineRule="auto"/>
            </w:pPr>
            <w:r>
              <w:t>NFR-SEC-047</w:t>
            </w:r>
          </w:p>
        </w:tc>
        <w:tc>
          <w:tcPr>
            <w:tcW w:w="6972" w:type="dxa"/>
          </w:tcPr>
          <w:p w14:paraId="095DF692">
            <w:pPr>
              <w:spacing w:after="0" w:line="240" w:lineRule="auto"/>
            </w:pPr>
            <w:r>
              <w:t>PINS for Backend Authentication: The application must prevent PINs (Personal Identification Number) from being used for backend authentication. The use of PINs (Personal Identification Number) such as those used for ATM transactions for ongoing authentication is prohibited. PINs can be used during the registration process to identify the customer but on-going authentication must be password based. Passwords must be CISS compliant. In other words, an activation PIN code is okay. A container authentication PIN is also okay. But PINs are not acceptable for backend authentication</w:t>
            </w:r>
          </w:p>
        </w:tc>
      </w:tr>
      <w:tr w14:paraId="664612D5">
        <w:tc>
          <w:tcPr>
            <w:tcW w:w="1668" w:type="dxa"/>
          </w:tcPr>
          <w:p w14:paraId="5E6B0856">
            <w:pPr>
              <w:spacing w:after="0" w:line="240" w:lineRule="auto"/>
            </w:pPr>
            <w:r>
              <w:t>NFR-SEC-048</w:t>
            </w:r>
          </w:p>
        </w:tc>
        <w:tc>
          <w:tcPr>
            <w:tcW w:w="6972" w:type="dxa"/>
          </w:tcPr>
          <w:p w14:paraId="4B2BB185">
            <w:pPr>
              <w:spacing w:after="0" w:line="240" w:lineRule="auto"/>
            </w:pPr>
            <w:r>
              <w:t>Session ID Rotation: For session management solutions that are POST based due to browser limitations (i.e. to handle browsers that do not support cookies/Javascript), the session management IDs must be changed periodically during the session.</w:t>
            </w:r>
          </w:p>
        </w:tc>
      </w:tr>
      <w:tr w14:paraId="7FCD2F18">
        <w:tc>
          <w:tcPr>
            <w:tcW w:w="1668" w:type="dxa"/>
          </w:tcPr>
          <w:p w14:paraId="294D5537">
            <w:pPr>
              <w:spacing w:after="0" w:line="240" w:lineRule="auto"/>
            </w:pPr>
            <w:r>
              <w:t>NFR-SEC-049</w:t>
            </w:r>
          </w:p>
        </w:tc>
        <w:tc>
          <w:tcPr>
            <w:tcW w:w="6972" w:type="dxa"/>
          </w:tcPr>
          <w:p w14:paraId="16CADEAC">
            <w:pPr>
              <w:spacing w:after="0" w:line="240" w:lineRule="auto"/>
            </w:pPr>
            <w:r>
              <w:t>The application must ensure that Any application that changes the state at the backend should have a one-time session/state ID associated with it. Due to limitations on support for cookies and Javascript, traditional methods of session management are not always ideal for mobile applications.</w:t>
            </w:r>
          </w:p>
        </w:tc>
      </w:tr>
      <w:tr w14:paraId="10205471">
        <w:tc>
          <w:tcPr>
            <w:tcW w:w="1668" w:type="dxa"/>
          </w:tcPr>
          <w:p w14:paraId="7D9497E9">
            <w:pPr>
              <w:spacing w:after="0" w:line="240" w:lineRule="auto"/>
            </w:pPr>
            <w:r>
              <w:t>NFR-SEC-050</w:t>
            </w:r>
          </w:p>
        </w:tc>
        <w:tc>
          <w:tcPr>
            <w:tcW w:w="6972" w:type="dxa"/>
          </w:tcPr>
          <w:p w14:paraId="4894D0F0">
            <w:pPr>
              <w:spacing w:after="0" w:line="240" w:lineRule="auto"/>
            </w:pPr>
            <w:r>
              <w:t>Token based Authentication Mechanism If the application makes use of SAML, Oauth, or JWT token for on-going Authentication; it must prevent token's insecure storage. Any application that changes the authorization state at the backend such as from pre-authentication to post logged-in session; must have a different session ID associated with each state.</w:t>
            </w:r>
          </w:p>
        </w:tc>
      </w:tr>
      <w:tr w14:paraId="154CF6AD">
        <w:tc>
          <w:tcPr>
            <w:tcW w:w="1668" w:type="dxa"/>
          </w:tcPr>
          <w:p w14:paraId="435430F1">
            <w:pPr>
              <w:spacing w:after="0" w:line="240" w:lineRule="auto"/>
            </w:pPr>
            <w:r>
              <w:t>NFR-SEC-051</w:t>
            </w:r>
          </w:p>
        </w:tc>
        <w:tc>
          <w:tcPr>
            <w:tcW w:w="6972" w:type="dxa"/>
          </w:tcPr>
          <w:p w14:paraId="0FE668BE">
            <w:pPr>
              <w:spacing w:after="0" w:line="240" w:lineRule="auto"/>
            </w:pPr>
            <w:r>
              <w:t>Push Notification Controls: The application must introduce/modify push notification like Apple, Firebase or some other third party cloud based event mechanism. Acceptable Criteria: - TLS appropriate version in place per Company standards. Content signing used to validate the origination of the push notification. Authentication and authorization mechanism in place between the client app, push notification service and application server. The credentials are managed independently by a dedicated group, not development. Data classified confidential PII or higher must have payload encryption in addition to the transmission level encryption.</w:t>
            </w:r>
          </w:p>
        </w:tc>
      </w:tr>
      <w:tr w14:paraId="44D717FB">
        <w:tc>
          <w:tcPr>
            <w:tcW w:w="1668" w:type="dxa"/>
          </w:tcPr>
          <w:p w14:paraId="44A0006C">
            <w:pPr>
              <w:spacing w:after="0" w:line="240" w:lineRule="auto"/>
            </w:pPr>
            <w:r>
              <w:t>NFR-SEC-052</w:t>
            </w:r>
          </w:p>
        </w:tc>
        <w:tc>
          <w:tcPr>
            <w:tcW w:w="6972" w:type="dxa"/>
          </w:tcPr>
          <w:p w14:paraId="493D0434">
            <w:pPr>
              <w:spacing w:after="0" w:line="240" w:lineRule="auto"/>
            </w:pPr>
            <w:r>
              <w:t>Cross Frame Scripting (XFS): If the application uses frames, the code implemented an XFS (Cross Frame Scripting) prevention solution specified in the Secure Coding Guidelines to ensure a top portal page frames child pages on the same server or from pre-defined federated servers must be available</w:t>
            </w:r>
          </w:p>
        </w:tc>
      </w:tr>
      <w:tr w14:paraId="3ED8AD3A">
        <w:tc>
          <w:tcPr>
            <w:tcW w:w="1668" w:type="dxa"/>
          </w:tcPr>
          <w:p w14:paraId="0ABFD0E7">
            <w:pPr>
              <w:spacing w:after="0" w:line="240" w:lineRule="auto"/>
            </w:pPr>
            <w:r>
              <w:t>NFR-SEC-053</w:t>
            </w:r>
          </w:p>
        </w:tc>
        <w:tc>
          <w:tcPr>
            <w:tcW w:w="6972" w:type="dxa"/>
          </w:tcPr>
          <w:p w14:paraId="7BBDE3CA">
            <w:pPr>
              <w:spacing w:after="0" w:line="240" w:lineRule="auto"/>
            </w:pPr>
            <w:r>
              <w:t>SQL Injection Controls: The application filter or escape user supplied input for special SQL characters or parameterize SQL queries must prevent SQL injection vulnerabilities in accordance with standard Secure Coding Guidelines</w:t>
            </w:r>
          </w:p>
        </w:tc>
      </w:tr>
      <w:tr w14:paraId="13D0B4BF">
        <w:tc>
          <w:tcPr>
            <w:tcW w:w="1668" w:type="dxa"/>
          </w:tcPr>
          <w:p w14:paraId="197A52D4">
            <w:pPr>
              <w:spacing w:after="0" w:line="240" w:lineRule="auto"/>
            </w:pPr>
            <w:r>
              <w:t>NFR-SEC-054</w:t>
            </w:r>
          </w:p>
        </w:tc>
        <w:tc>
          <w:tcPr>
            <w:tcW w:w="6972" w:type="dxa"/>
          </w:tcPr>
          <w:p w14:paraId="04C850CE">
            <w:pPr>
              <w:spacing w:after="0" w:line="240" w:lineRule="auto"/>
            </w:pPr>
            <w:r>
              <w:t>The application must ensure that the Business does not periodically remind its customers that manually changing their static passwords provides greater security, the application should ensure the authentication process governing passwords enforces static passwords be changed a minimum of every 90 calendar days</w:t>
            </w:r>
          </w:p>
        </w:tc>
      </w:tr>
      <w:tr w14:paraId="6B53F90A">
        <w:tc>
          <w:tcPr>
            <w:tcW w:w="1668" w:type="dxa"/>
          </w:tcPr>
          <w:p w14:paraId="48B2C8EC">
            <w:pPr>
              <w:spacing w:after="0" w:line="240" w:lineRule="auto"/>
            </w:pPr>
            <w:r>
              <w:t>NFR-SEC-055</w:t>
            </w:r>
          </w:p>
        </w:tc>
        <w:tc>
          <w:tcPr>
            <w:tcW w:w="6972" w:type="dxa"/>
          </w:tcPr>
          <w:p w14:paraId="0DD2CECB">
            <w:pPr>
              <w:spacing w:after="0" w:line="240" w:lineRule="auto"/>
            </w:pPr>
            <w:r>
              <w:t>Information Classification: The application's information must be classified in accordance with all sections of the Information Classification Standard. E.g. Information Owners (as defined in the IT Common Glossary) must classify the structured information they own using the IS classification levels described in the Information Classification Standard (ICS).All Company workers must classify unstructured information under their control using the IS classification levels described in the ICS. Information obtained from Service Providers must be classified in accordance with the ICS. This includes information accessed online requiring authentication and not hosted or owned by Company. (Required controls for handling and protecting information based on information classification are detailed in the Data Protection Standard.)Information Owners for structured data in applications and Company workers who manage unstructured data must evaluate the information’s overall sensitivity level based on the data elements that are collected, processed, stored, transmitted, accessed, or disposed. Sensitivity levels are determined by the potential impact to the firm or its affiliates if the confidentiality, integrity or availability (CIA) of the information were ever compromised. The four possible information sensitivity classification levels for information at Company are described in the ICS. Information Owners and Company workers managing information must determine whether PII is present in the data, and if it is, must classify the sensitivity of that PII using the three (3) possible classification levels for PII in the ICS.(Further requirements for the identification of PII are defined in the Companygroup Privacy and Bank Customer Confidentiality Policy.)After evaluating the data as described in ICS Sections 3.2 and 3.3, Information Owners and/or Company Workers must record the classification. Where possible, Sensitivity Level and PII Category must be recorded as separate fields. Where this is not possible, in order to ensure that the appropriate level of data protection controls is applied, the information should receive a single classification based on the most sensitive data present (i.e. the high watermark), as per the hierarchy in the ICS.</w:t>
            </w:r>
          </w:p>
        </w:tc>
      </w:tr>
      <w:tr w14:paraId="789767EC">
        <w:tc>
          <w:tcPr>
            <w:tcW w:w="1668" w:type="dxa"/>
          </w:tcPr>
          <w:p w14:paraId="0F85F6C9">
            <w:pPr>
              <w:spacing w:after="0" w:line="240" w:lineRule="auto"/>
            </w:pPr>
            <w:r>
              <w:t>NFR-SEC-056</w:t>
            </w:r>
          </w:p>
        </w:tc>
        <w:tc>
          <w:tcPr>
            <w:tcW w:w="6972" w:type="dxa"/>
          </w:tcPr>
          <w:p w14:paraId="21594421">
            <w:pPr>
              <w:spacing w:after="0" w:line="240" w:lineRule="auto"/>
            </w:pPr>
            <w:r>
              <w:t>System Security Testing: If required, the application must undergo all of the Application Vulnerability Assessments and remediated all security findings as specified in the ITPC-approved System Security Testing Standard (SSTS)</w:t>
            </w:r>
          </w:p>
        </w:tc>
      </w:tr>
      <w:tr w14:paraId="3CA749EE">
        <w:tc>
          <w:tcPr>
            <w:tcW w:w="1668" w:type="dxa"/>
          </w:tcPr>
          <w:p w14:paraId="637AC2F1">
            <w:pPr>
              <w:spacing w:after="0" w:line="240" w:lineRule="auto"/>
            </w:pPr>
            <w:r>
              <w:t>NFR-SEC-057</w:t>
            </w:r>
          </w:p>
        </w:tc>
        <w:tc>
          <w:tcPr>
            <w:tcW w:w="6972" w:type="dxa"/>
          </w:tcPr>
          <w:p w14:paraId="77957B47">
            <w:pPr>
              <w:spacing w:after="0" w:line="240" w:lineRule="auto"/>
            </w:pPr>
            <w:r>
              <w:t>The application must source Code Review: The application source code has to be reviewed for security flaws either via a manual source code review or via a corporate automated tool</w:t>
            </w:r>
          </w:p>
        </w:tc>
      </w:tr>
      <w:tr w14:paraId="67F0FDFA">
        <w:tc>
          <w:tcPr>
            <w:tcW w:w="1668" w:type="dxa"/>
          </w:tcPr>
          <w:p w14:paraId="78CC021B">
            <w:pPr>
              <w:spacing w:after="0" w:line="240" w:lineRule="auto"/>
            </w:pPr>
            <w:r>
              <w:t>NFR-SEC-058</w:t>
            </w:r>
          </w:p>
        </w:tc>
        <w:tc>
          <w:tcPr>
            <w:tcW w:w="6972" w:type="dxa"/>
          </w:tcPr>
          <w:p w14:paraId="4579AD0F">
            <w:pPr>
              <w:spacing w:after="0" w:line="240" w:lineRule="auto"/>
            </w:pPr>
            <w:r>
              <w:t>Roles and responsibilities for each phase of the key management life cycle must be clearly defined, especially when managing keys for high-risk applications. In addition, key management functions must be performed by administrators who are trained and designate to conduct for this purpose and should not be conducted by regular operational roles such as SAs.</w:t>
            </w:r>
          </w:p>
        </w:tc>
      </w:tr>
      <w:tr w14:paraId="48AAA6AD">
        <w:tc>
          <w:tcPr>
            <w:tcW w:w="1668" w:type="dxa"/>
          </w:tcPr>
          <w:p w14:paraId="234C3E62">
            <w:pPr>
              <w:spacing w:after="0" w:line="240" w:lineRule="auto"/>
            </w:pPr>
            <w:r>
              <w:t>NFR-SEC-059</w:t>
            </w:r>
          </w:p>
        </w:tc>
        <w:tc>
          <w:tcPr>
            <w:tcW w:w="6972" w:type="dxa"/>
          </w:tcPr>
          <w:p w14:paraId="3F01F1EB">
            <w:pPr>
              <w:spacing w:after="0" w:line="240" w:lineRule="auto"/>
            </w:pPr>
            <w:r>
              <w:t>The Open Web Application Security Project (OWASP) found top 10 steps are most effective ways to make the web applications/code to be more secured. It suggests that the Companies must adopt this document and start the process of ensuring that their web applications minimize these risks. Using the OWASP Top 10 is perhaps the most effective first step towards changing the software development culture within the organization into one that produces more secure code.</w:t>
            </w:r>
          </w:p>
        </w:tc>
      </w:tr>
      <w:tr w14:paraId="704DE991">
        <w:tc>
          <w:tcPr>
            <w:tcW w:w="1668" w:type="dxa"/>
          </w:tcPr>
          <w:p w14:paraId="55C920AD">
            <w:pPr>
              <w:spacing w:after="0" w:line="240" w:lineRule="auto"/>
            </w:pPr>
            <w:r>
              <w:t>NFR-SEC-060</w:t>
            </w:r>
          </w:p>
        </w:tc>
        <w:tc>
          <w:tcPr>
            <w:tcW w:w="6972" w:type="dxa"/>
          </w:tcPr>
          <w:p w14:paraId="1FF760EB">
            <w:pPr>
              <w:spacing w:after="0" w:line="240" w:lineRule="auto"/>
            </w:pPr>
            <w:r>
              <w:t>The application must insecure Design is a new category currently, with a focus on risks related to design flaws. If we genuinely want to “move left” as an industry, it calls for more use of threat modelling, secure design patterns and principles, and reference architectures.</w:t>
            </w:r>
          </w:p>
        </w:tc>
      </w:tr>
      <w:tr w14:paraId="733F2D0B">
        <w:tc>
          <w:tcPr>
            <w:tcW w:w="1668" w:type="dxa"/>
          </w:tcPr>
          <w:p w14:paraId="7806437A">
            <w:pPr>
              <w:spacing w:after="0" w:line="240" w:lineRule="auto"/>
            </w:pPr>
            <w:r>
              <w:t>NFR-SEC-061</w:t>
            </w:r>
          </w:p>
        </w:tc>
        <w:tc>
          <w:tcPr>
            <w:tcW w:w="6972" w:type="dxa"/>
          </w:tcPr>
          <w:p w14:paraId="23579D6D">
            <w:pPr>
              <w:spacing w:after="0" w:line="240" w:lineRule="auto"/>
            </w:pPr>
            <w:r>
              <w:t>The application must vulnerable and Outdated Components was previously titled Using Components with Known Vulnerabilities and is #2 in the Top 10 community survey, but also had enough data to make the Top 10 via data analysis. This category is a known issue that we struggle to test and assess risk. It is the only category not to have any Common Vulnerability and Exposures (CVEs) mapped to the included CWEs, so a default exploit and impact weights of 5.0 are factored into their scores.</w:t>
            </w:r>
          </w:p>
        </w:tc>
      </w:tr>
      <w:tr w14:paraId="4986F6B5">
        <w:tc>
          <w:tcPr>
            <w:tcW w:w="1668" w:type="dxa"/>
          </w:tcPr>
          <w:p w14:paraId="59B00604">
            <w:pPr>
              <w:spacing w:after="0" w:line="240" w:lineRule="auto"/>
            </w:pPr>
            <w:r>
              <w:t>NFR-SEC-062</w:t>
            </w:r>
          </w:p>
        </w:tc>
        <w:tc>
          <w:tcPr>
            <w:tcW w:w="6972" w:type="dxa"/>
          </w:tcPr>
          <w:p w14:paraId="50E3AD94">
            <w:pPr>
              <w:spacing w:after="0" w:line="240" w:lineRule="auto"/>
            </w:pPr>
            <w:r>
              <w:t>The application must identification and Authentication Failures was previously Broken Authentication and is sliding down from the second position, and now includes CWEs that are more related to identification failures. This category is still an integral part of the Top 10, but the increased availability of standardized frameworks seems to be helping.</w:t>
            </w:r>
          </w:p>
        </w:tc>
      </w:tr>
      <w:tr w14:paraId="55FA2271">
        <w:tc>
          <w:tcPr>
            <w:tcW w:w="1668" w:type="dxa"/>
          </w:tcPr>
          <w:p w14:paraId="59B365D4">
            <w:pPr>
              <w:spacing w:after="0" w:line="240" w:lineRule="auto"/>
            </w:pPr>
            <w:r>
              <w:t>NFR-SEC-063</w:t>
            </w:r>
          </w:p>
        </w:tc>
        <w:tc>
          <w:tcPr>
            <w:tcW w:w="6972" w:type="dxa"/>
          </w:tcPr>
          <w:p w14:paraId="52565B51">
            <w:pPr>
              <w:spacing w:after="0" w:line="240" w:lineRule="auto"/>
            </w:pPr>
            <w:r>
              <w:t>The application must software and Data Integrity Failures is a new category for 2021, focusing on making assumptions related to software updates, critical data, and CI/CD pipelines without verifying integrity. One of the highest weighted impacts from Common Vulnerability and Exposures/Common Vulnerability Scoring System (CVE/CVSS) data mapped to the 10 CWEs in this category. Insecure Deserialization from 2017 is now a part of this larger category.</w:t>
            </w:r>
          </w:p>
        </w:tc>
      </w:tr>
      <w:tr w14:paraId="629FD536">
        <w:tc>
          <w:tcPr>
            <w:tcW w:w="1668" w:type="dxa"/>
          </w:tcPr>
          <w:p w14:paraId="3B7F14CD">
            <w:pPr>
              <w:spacing w:after="0" w:line="240" w:lineRule="auto"/>
            </w:pPr>
            <w:r>
              <w:t>NFR-SEC-064</w:t>
            </w:r>
          </w:p>
        </w:tc>
        <w:tc>
          <w:tcPr>
            <w:tcW w:w="6972" w:type="dxa"/>
          </w:tcPr>
          <w:p w14:paraId="154DBEDD">
            <w:pPr>
              <w:spacing w:after="0" w:line="240" w:lineRule="auto"/>
            </w:pPr>
            <w:r>
              <w:t>iWork Application should not allow right click, copy(ctrl+c) and contents capturing, print screen functionality across all the forms in application.</w:t>
            </w:r>
          </w:p>
        </w:tc>
      </w:tr>
      <w:tr w14:paraId="17447C09">
        <w:tc>
          <w:tcPr>
            <w:tcW w:w="1668" w:type="dxa"/>
          </w:tcPr>
          <w:p w14:paraId="389B171D">
            <w:pPr>
              <w:spacing w:after="0" w:line="240" w:lineRule="auto"/>
              <w:rPr>
                <w:color w:val="C0504D" w:themeColor="accent2"/>
                <w14:textFill>
                  <w14:solidFill>
                    <w14:schemeClr w14:val="accent2"/>
                  </w14:solidFill>
                </w14:textFill>
              </w:rPr>
            </w:pPr>
            <w:r>
              <w:rPr>
                <w:color w:val="C0504D" w:themeColor="accent2"/>
                <w14:textFill>
                  <w14:solidFill>
                    <w14:schemeClr w14:val="accent2"/>
                  </w14:solidFill>
                </w14:textFill>
              </w:rPr>
              <w:t>NFR-SEC-065</w:t>
            </w:r>
          </w:p>
        </w:tc>
        <w:tc>
          <w:tcPr>
            <w:tcW w:w="6972" w:type="dxa"/>
          </w:tcPr>
          <w:p w14:paraId="30D284FC">
            <w:pPr>
              <w:spacing w:after="0" w:line="240" w:lineRule="auto"/>
              <w:rPr>
                <w:color w:val="C0504D" w:themeColor="accent2"/>
                <w14:textFill>
                  <w14:solidFill>
                    <w14:schemeClr w14:val="accent2"/>
                  </w14:solidFill>
                </w14:textFill>
              </w:rPr>
            </w:pPr>
            <w:r>
              <w:rPr>
                <w:color w:val="C0504D" w:themeColor="accent2"/>
                <w14:textFill>
                  <w14:solidFill>
                    <w14:schemeClr w14:val="accent2"/>
                  </w14:solidFill>
                </w14:textFill>
              </w:rPr>
              <w:t>The platform must enforce secure session management including timeout and persistent session settings.</w:t>
            </w:r>
          </w:p>
        </w:tc>
      </w:tr>
      <w:tr w14:paraId="7802A60F">
        <w:tc>
          <w:tcPr>
            <w:tcW w:w="1668" w:type="dxa"/>
          </w:tcPr>
          <w:p w14:paraId="421B5132">
            <w:pPr>
              <w:spacing w:after="0" w:line="240" w:lineRule="auto"/>
              <w:rPr>
                <w:color w:val="C0504D" w:themeColor="accent2"/>
                <w14:textFill>
                  <w14:solidFill>
                    <w14:schemeClr w14:val="accent2"/>
                  </w14:solidFill>
                </w14:textFill>
              </w:rPr>
            </w:pPr>
            <w:r>
              <w:rPr>
                <w:color w:val="C0504D" w:themeColor="accent2"/>
                <w14:textFill>
                  <w14:solidFill>
                    <w14:schemeClr w14:val="accent2"/>
                  </w14:solidFill>
                </w14:textFill>
              </w:rPr>
              <w:t>NFR-SEC-066</w:t>
            </w:r>
          </w:p>
        </w:tc>
        <w:tc>
          <w:tcPr>
            <w:tcW w:w="6972" w:type="dxa"/>
          </w:tcPr>
          <w:p w14:paraId="2D06C6BA">
            <w:pPr>
              <w:spacing w:after="0" w:line="240" w:lineRule="auto"/>
              <w:rPr>
                <w:color w:val="C0504D" w:themeColor="accent2"/>
                <w14:textFill>
                  <w14:solidFill>
                    <w14:schemeClr w14:val="accent2"/>
                  </w14:solidFill>
                </w14:textFill>
              </w:rPr>
            </w:pPr>
            <w:r>
              <w:rPr>
                <w:color w:val="C0504D" w:themeColor="accent2"/>
                <w14:textFill>
                  <w14:solidFill>
                    <w14:schemeClr w14:val="accent2"/>
                  </w14:solidFill>
                </w14:textFill>
              </w:rPr>
              <w:t>The platform must support Single Sign-On (SSO) using OAuth2, OpenID Connect, or LDAP.</w:t>
            </w:r>
          </w:p>
        </w:tc>
      </w:tr>
      <w:tr w14:paraId="1D0CC553">
        <w:tc>
          <w:tcPr>
            <w:tcW w:w="1668" w:type="dxa"/>
          </w:tcPr>
          <w:p w14:paraId="28BD20BF">
            <w:pPr>
              <w:spacing w:after="0" w:line="240" w:lineRule="auto"/>
              <w:rPr>
                <w:color w:val="C0504D" w:themeColor="accent2"/>
                <w14:textFill>
                  <w14:solidFill>
                    <w14:schemeClr w14:val="accent2"/>
                  </w14:solidFill>
                </w14:textFill>
              </w:rPr>
            </w:pPr>
            <w:r>
              <w:rPr>
                <w:color w:val="C0504D" w:themeColor="accent2"/>
                <w14:textFill>
                  <w14:solidFill>
                    <w14:schemeClr w14:val="accent2"/>
                  </w14:solidFill>
                </w14:textFill>
              </w:rPr>
              <w:t>NFR-SEC-067</w:t>
            </w:r>
          </w:p>
        </w:tc>
        <w:tc>
          <w:tcPr>
            <w:tcW w:w="6972" w:type="dxa"/>
          </w:tcPr>
          <w:p w14:paraId="7A9E115B">
            <w:pPr>
              <w:spacing w:after="0" w:line="240" w:lineRule="auto"/>
              <w:rPr>
                <w:color w:val="C0504D" w:themeColor="accent2"/>
                <w14:textFill>
                  <w14:solidFill>
                    <w14:schemeClr w14:val="accent2"/>
                  </w14:solidFill>
                </w14:textFill>
              </w:rPr>
            </w:pPr>
            <w:r>
              <w:rPr>
                <w:color w:val="C0504D" w:themeColor="accent2"/>
                <w14:textFill>
                  <w14:solidFill>
                    <w14:schemeClr w14:val="accent2"/>
                  </w14:solidFill>
                </w14:textFill>
              </w:rPr>
              <w:t>The platform must implement strong password policies including complexity and expiration rules.</w:t>
            </w:r>
          </w:p>
        </w:tc>
      </w:tr>
    </w:tbl>
    <w:p w14:paraId="78083817"/>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0000019F"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ourier">
    <w:altName w:val="苹方-简"/>
    <w:panose1 w:val="02070409020205020404"/>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5F3"/>
    <w:rsid w:val="00126734"/>
    <w:rsid w:val="0015074B"/>
    <w:rsid w:val="0027340A"/>
    <w:rsid w:val="00290391"/>
    <w:rsid w:val="0029639D"/>
    <w:rsid w:val="002E218B"/>
    <w:rsid w:val="00326F90"/>
    <w:rsid w:val="003300E8"/>
    <w:rsid w:val="00494098"/>
    <w:rsid w:val="005269A1"/>
    <w:rsid w:val="009218D5"/>
    <w:rsid w:val="00987492"/>
    <w:rsid w:val="00A50479"/>
    <w:rsid w:val="00AA1D8D"/>
    <w:rsid w:val="00AF22C3"/>
    <w:rsid w:val="00B47730"/>
    <w:rsid w:val="00B47B9C"/>
    <w:rsid w:val="00BB63B0"/>
    <w:rsid w:val="00C34B38"/>
    <w:rsid w:val="00C53A22"/>
    <w:rsid w:val="00CB0664"/>
    <w:rsid w:val="00CD0188"/>
    <w:rsid w:val="00D63497"/>
    <w:rsid w:val="00DC3716"/>
    <w:rsid w:val="00E662A9"/>
    <w:rsid w:val="00EA5333"/>
    <w:rsid w:val="00EB50AE"/>
    <w:rsid w:val="00ED0E0D"/>
    <w:rsid w:val="00FC693F"/>
    <w:rsid w:val="5FBD83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ma="http://schemas.microsoft.com/office/2006/metadata/properties/metaAttributes" xmlns:ct="http://schemas.microsoft.com/office/2006/metadata/contentType" ma:contentTypeDescription="Create a new document." ma:versionID="110cd810d938b541e3eb2d8b9999c227" ct:_="" ma:_="" ma:contentTypeScope="" ma:contentTypeID="0x010100994A3583C365A040905F7C1BD675402C" ma:contentTypeVersion="12" ma:contentTypeName="Document">
  <xsd:schema xmlns:xs="http://www.w3.org/2001/XMLSchema" xmlns:ns2="e1167d81-a0f2-4a01-86c1-635d3e6865d7" xmlns:ns3="8a7b4bc1-3546-4439-abbc-e6163aa6c9d0" xmlns:xsd="http://www.w3.org/2001/XMLSchema" xmlns:p="http://schemas.microsoft.com/office/2006/metadata/properties" ns2:_="" targetNamespace="http://schemas.microsoft.com/office/2006/metadata/properties" ns3:_="" ma:root="true" ma:fieldsID="cd5328426140d4fd5294d6b692854f6d">
    <xsd:import namespace="e1167d81-a0f2-4a01-86c1-635d3e6865d7"/>
    <xsd:import namespace="8a7b4bc1-3546-4439-abbc-e6163aa6c9d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http://www.w3.org/2001/XMLSchema" xmlns:xsd="http://www.w3.org/2001/XMLSchema" xmlns:pc="http://schemas.microsoft.com/office/infopath/2007/PartnerControls" xmlns:dms="http://schemas.microsoft.com/office/2006/documentManagement/types" targetNamespace="e1167d81-a0f2-4a01-86c1-635d3e6865d7" elementFormDefault="qualified">
    <xsd:import namespace="http://schemas.microsoft.com/office/2006/documentManagement/types"/>
    <xsd:import namespace="http://schemas.microsoft.com/office/infopath/2007/PartnerControls"/>
    <xsd:element name="MediaServiceMetadata" ma:internalName="MediaServiceMetadata" ma:hidden="true" nillable="true" ma:index="8" ma:readOnly="true" ma:displayName="MediaServiceMetadata">
      <xsd:simpleType>
        <xsd:restriction base="dms:Note"/>
      </xsd:simpleType>
    </xsd:element>
    <xsd:element name="MediaServiceFastMetadata" ma:internalName="MediaServiceFastMetadata" ma:hidden="true" nillable="true" ma:index="9" ma:readOnly="true" ma:displayName="MediaServiceFastMetadata">
      <xsd:simpleType>
        <xsd:restriction base="dms:Note"/>
      </xsd:simpleType>
    </xsd:element>
    <xsd:element name="MediaServiceSearchProperties" ma:internalName="MediaServiceSearchProperties" ma:hidden="true" nillable="true" ma:index="10" ma:readOnly="true" ma:displayName="MediaServiceSearchProperties">
      <xsd:simpleType>
        <xsd:restriction base="dms:Note"/>
      </xsd:simpleType>
    </xsd:element>
    <xsd:element name="MediaServiceDateTaken" ma:internalName="MediaServiceDateTaken" ma:hidden="true" ma:indexed="true" nillable="true" ma:index="11" ma:readOnly="true" ma:displayName="MediaServiceDateTaken">
      <xsd:simpleType>
        <xsd:restriction base="dms:Text"/>
      </xsd:simpleType>
    </xsd:element>
    <xsd:element name="MediaServiceObjectDetectorVersions" ma:internalName="MediaServiceObjectDetectorVersions" ma:hidden="true" ma:indexed="true" nillable="true" ma:index="12" ma:readOnly="true" ma:displayName="MediaServiceObjectDetectorVersions">
      <xsd:simpleType>
        <xsd:restriction base="dms:Text"/>
      </xsd:simpleType>
    </xsd:element>
    <xsd:element name="MediaServiceGenerationTime" ma:internalName="MediaServiceGenerationTime" ma:hidden="true" nillable="true" ma:index="13" ma:readOnly="true" ma:displayName="MediaServiceGenerationTime">
      <xsd:simpleType>
        <xsd:restriction base="dms:Text"/>
      </xsd:simpleType>
    </xsd:element>
    <xsd:element name="MediaServiceEventHashCode" ma:internalName="MediaServiceEventHashCode" ma:hidden="true" nillable="true" ma:index="14" ma:readOnly="true" ma:displayName="MediaServiceEventHashCode">
      <xsd:simpleType>
        <xsd:restriction base="dms:Text"/>
      </xsd:simpleType>
    </xsd:element>
    <xsd:element name="MediaLengthInSeconds" ma:internalName="MediaLengthInSeconds" ma:hidden="true" nillable="true" ma:index="15" ma:readOnly="true" ma:displayName="MediaLengthInSeconds">
      <xsd:simpleType>
        <xsd:restriction base="dms:Unknown"/>
      </xsd:simpleType>
    </xsd:element>
    <xsd:element name="lcf76f155ced4ddcb4097134ff3c332f" ma:fieldId="{5cf76f15-5ced-4ddc-b409-7134ff3c332f}" ma:internalName="lcf76f155ced4ddcb4097134ff3c332f" ma:isKeyword="false" nillable="true" ma:taxonomyFieldName="MediaServiceImageTags" ma:sspId="701c8fd3-09f0-4b1b-a405-1c235448185d" ma:open="true" ma:termSetId="09814cd3-568e-fe90-9814-8d621ff8fb84" ma:index="17" ma:anchorId="fba54fb3-c3e1-fe81-a776-ca4b69148c4d" ma:readOnly="false" ma:displayName="Image Tags" ma:taxonomy="true" ma:taxonomyMulti="true">
      <xsd:complexType>
        <xsd:sequence>
          <xsd:element ref="pc:Terms" maxOccurs="1" minOccurs="0"/>
        </xsd:sequence>
      </xsd:complexType>
    </xsd:element>
    <xsd:element name="MediaServiceOCR" ma:internalName="MediaServiceOCR" nillable="true" ma:index="19" ma:readOnly="true" ma:displayName="Extracted Text">
      <xsd:simpleType>
        <xsd:restriction base="dms:Note">
          <xsd:maxLength value="255"/>
        </xsd:restriction>
      </xsd:simpleType>
    </xsd:element>
  </xsd:schema>
  <xsd:schema xmlns:xs="http://www.w3.org/2001/XMLSchema" xmlns:xsd="http://www.w3.org/2001/XMLSchema" xmlns:pc="http://schemas.microsoft.com/office/infopath/2007/PartnerControls" xmlns:dms="http://schemas.microsoft.com/office/2006/documentManagement/types" targetNamespace="8a7b4bc1-3546-4439-abbc-e6163aa6c9d0" elementFormDefault="qualified">
    <xsd:import namespace="http://schemas.microsoft.com/office/2006/documentManagement/types"/>
    <xsd:import namespace="http://schemas.microsoft.com/office/infopath/2007/PartnerControls"/>
    <xsd:element name="TaxCatchAll" ma:internalName="TaxCatchAll" ma:hidden="true" ma:showField="CatchAllData" nillable="true" ma:list="{d69cdd70-72a8-4639-a265-56b32db6ab20}" ma:web="8a7b4bc1-3546-4439-abbc-e6163aa6c9d0" ma:index="18" ma:displayName="Taxonomy Catch All Column">
      <xsd:complexType>
        <xsd:complexContent>
          <xsd:extension base="dms:MultiChoiceLookup">
            <xsd:sequence>
              <xsd:element name="Value" nillable="true" maxOccurs="unbounded" minOccurs="0" type="dms:Lookup"/>
            </xsd:sequence>
          </xsd:extension>
        </xsd:complexContent>
      </xsd:complexType>
    </xsd:element>
  </xsd:schema>
  <xsd:schema xmlns:odoc="http://schemas.microsoft.com/internal/obd" xmlns:xsd="http://www.w3.org/2001/XMLSchema" xmlns:xsi="http://www.w3.org/2001/XMLSchema-instance" xmlns:dc="http://purl.org/dc/elements/1.1/" xmlns="http://schemas.openxmlformats.org/package/2006/metadata/core-properties" xmlns:dcterms="http://purl.org/dc/terms/" attributeFormDefault="unqualified" blockDefault="#all" targetNamespace="http://schemas.openxmlformats.org/package/2006/metadata/core-properties" elementFormDefault="qualified">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axOccurs="1" minOccurs="0"/>
        <xsd:element ref="dcterms:created" maxOccurs="1" minOccurs="0"/>
        <xsd:element ref="dc:identifier" maxOccurs="1" minOccurs="0"/>
        <xsd:element name="contentType" maxOccurs="1" minOccurs="0" ma:index="0" type="xsd:string" ma:displayName="Content Type"/>
        <xsd:element ref="dc:title" maxOccurs="1" minOccurs="0" ma:index="4" ma:displayName="Title"/>
        <xsd:element ref="dc:subject" maxOccurs="1" minOccurs="0"/>
        <xsd:element ref="dc:description" maxOccurs="1" minOccurs="0"/>
        <xsd:element name="keywords" maxOccurs="1" minOccurs="0" type="xsd:string"/>
        <xsd:element ref="dc:language" maxOccurs="1" minOccurs="0"/>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ref="dcterms:modified" maxOccurs="1" minOccurs="0"/>
        <xsd:element name="contentStatus" maxOccurs="1" minOccurs="0" type="xsd:string"/>
      </xsd:all>
    </xsd:complexType>
  </xsd:schema>
  <xs:schema xmlns:xs="http://www.w3.org/2001/XMLSchema" xmlns:pc="http://schemas.microsoft.com/office/infopath/2007/PartnerControls" attributeFormDefault="unqualified" targetNamespace="http://schemas.microsoft.com/office/infopath/2007/PartnerControls" elementFormDefault="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axOccurs="unbounded" minOccurs="0"/>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axOccurs="unbounded" minOccurs="0"/>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pc="http://schemas.microsoft.com/office/infopath/2007/PartnerControls" xmlns:xsi="http://www.w3.org/2001/XMLSchema-instance">
  <documentManagement>
    <lcf76f155ced4ddcb4097134ff3c332f xmlns="e1167d81-a0f2-4a01-86c1-635d3e6865d7">
      <Terms xmlns="http://schemas.microsoft.com/office/infopath/2007/PartnerControls"/>
    </lcf76f155ced4ddcb4097134ff3c332f>
    <TaxCatchAll xmlns="8a7b4bc1-3546-4439-abbc-e6163aa6c9d0"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B2D896-0A93-4D52-81DA-AE5095DECE3B}">
  <ds:schemaRefs/>
</ds:datastoreItem>
</file>

<file path=customXml/itemProps2.xml><?xml version="1.0" encoding="utf-8"?>
<ds:datastoreItem xmlns:ds="http://schemas.openxmlformats.org/officeDocument/2006/customXml" ds:itemID="{EB8ADB7F-2AA9-4A29-A006-15FE3492DF23}">
  <ds:schemaRefs/>
</ds:datastoreItem>
</file>

<file path=customXml/itemProps3.xml><?xml version="1.0" encoding="utf-8"?>
<ds:datastoreItem xmlns:ds="http://schemas.openxmlformats.org/officeDocument/2006/customXml" ds:itemID="{E27118A9-4E0D-4FCB-9D9B-4D2DAA276FD5}">
  <ds:schemaRefs/>
</ds:datastoreItem>
</file>

<file path=customXml/itemProps4.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3587</Words>
  <Characters>20447</Characters>
  <Lines>170</Lines>
  <Paragraphs>47</Paragraphs>
  <TotalTime>291</TotalTime>
  <ScaleCrop>false</ScaleCrop>
  <LinksUpToDate>false</LinksUpToDate>
  <CharactersWithSpaces>23987</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WPS_1761850622</cp:lastModifiedBy>
  <dcterms:modified xsi:type="dcterms:W3CDTF">2026-03-06T12:09:58Z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0x010100994A3583C365A040905F7C1BD675402C</vt:lpwstr>
  </property>
  <property fmtid="{D5CDD505-2E9C-101B-9397-08002B2CF9AE}" pid="3" name="KSOProductBuildVer">
    <vt:lpwstr>1033-12.1.23155.23155</vt:lpwstr>
  </property>
  <property fmtid="{D5CDD505-2E9C-101B-9397-08002B2CF9AE}" pid="4" name="ICV">
    <vt:lpwstr>64EC3C1AE13FD317BE76AA69F35AC165_42</vt:lpwstr>
  </property>
</Properties>
</file>