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Non-Functional Requirements - Usability</w:t>
      </w:r>
    </w:p>
    <w:p w:rsidR="00000000" w:rsidDel="00000000" w:rsidP="00000000" w:rsidRDefault="00000000" w:rsidRPr="00000000" w14:paraId="00000002">
      <w:pPr>
        <w:rPr/>
      </w:pPr>
      <w:r w:rsidDel="00000000" w:rsidR="00000000" w:rsidRPr="00000000">
        <w:rPr>
          <w:rtl w:val="0"/>
        </w:rPr>
        <w:t xml:space="preserve">This document contains NFRs categorized under Usability. Each NFR is numbered sequentially.</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6831"/>
        <w:tblGridChange w:id="0">
          <w:tblGrid>
            <w:gridCol w:w="1809"/>
            <w:gridCol w:w="6831"/>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NFR No.</w:t>
            </w:r>
          </w:p>
        </w:tc>
        <w:tc>
          <w:tcPr/>
          <w:p w:rsidR="00000000" w:rsidDel="00000000" w:rsidP="00000000" w:rsidRDefault="00000000" w:rsidRPr="00000000" w14:paraId="00000004">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005">
            <w:pPr>
              <w:rPr>
                <w:highlight w:val="yellow"/>
              </w:rPr>
            </w:pPr>
            <w:r w:rsidDel="00000000" w:rsidR="00000000" w:rsidRPr="00000000">
              <w:rPr>
                <w:highlight w:val="yellow"/>
                <w:rtl w:val="0"/>
              </w:rPr>
              <w:t xml:space="preserve">NFR-USA-001</w:t>
            </w:r>
          </w:p>
        </w:tc>
        <w:tc>
          <w:tcPr/>
          <w:p w:rsidR="00000000" w:rsidDel="00000000" w:rsidP="00000000" w:rsidRDefault="00000000" w:rsidRPr="00000000" w14:paraId="00000006">
            <w:pPr>
              <w:rPr>
                <w:highlight w:val="yellow"/>
              </w:rPr>
            </w:pPr>
            <w:r w:rsidDel="00000000" w:rsidR="00000000" w:rsidRPr="00000000">
              <w:rPr>
                <w:highlight w:val="yellow"/>
                <w:rtl w:val="0"/>
              </w:rPr>
              <w:t xml:space="preserve">The application must provide logout capability such that the users can completely log out of the application. If a user has multiple active sessions, the logout capability must terminate all sessions. After logout, the application is not accessible via the users' previous sessions. If the application is an SSO application, then it is up to each business to determine whether single sign off capability is desirable or not.</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NFR-USA-002</w:t>
            </w:r>
          </w:p>
        </w:tc>
        <w:tc>
          <w:tcPr/>
          <w:p w:rsidR="00000000" w:rsidDel="00000000" w:rsidP="00000000" w:rsidRDefault="00000000" w:rsidRPr="00000000" w14:paraId="00000008">
            <w:pPr>
              <w:rPr/>
            </w:pPr>
            <w:r w:rsidDel="00000000" w:rsidR="00000000" w:rsidRPr="00000000">
              <w:rPr>
                <w:rtl w:val="0"/>
              </w:rPr>
              <w:t xml:space="preserve">The application must ensure that the application contains online forms which are available pre-authentication (e.g. registration, customer feedback, etc.), the following mechanisms should be implemented: CAPTCHA, or equivalent, on the initial page of the online registration, Pre-authentication pages should be tested for DoS (Denial of Service) attacks to ensure capacity is adequate, the online form must follow Secure Coding Guidelines (i.e., user input validation for special characters, SQL statements, etc.</w:t>
            </w:r>
          </w:p>
        </w:tc>
      </w:tr>
      <w:tr>
        <w:trPr>
          <w:cantSplit w:val="0"/>
          <w:tblHeader w:val="0"/>
        </w:trPr>
        <w:tc>
          <w:tcPr/>
          <w:p w:rsidR="00000000" w:rsidDel="00000000" w:rsidP="00000000" w:rsidRDefault="00000000" w:rsidRPr="00000000" w14:paraId="00000009">
            <w:pPr>
              <w:rPr>
                <w:highlight w:val="yellow"/>
              </w:rPr>
            </w:pPr>
            <w:r w:rsidDel="00000000" w:rsidR="00000000" w:rsidRPr="00000000">
              <w:rPr>
                <w:highlight w:val="yellow"/>
                <w:rtl w:val="0"/>
              </w:rPr>
              <w:t xml:space="preserve">NFR-USA-003</w:t>
            </w:r>
          </w:p>
        </w:tc>
        <w:tc>
          <w:tcPr/>
          <w:p w:rsidR="00000000" w:rsidDel="00000000" w:rsidP="00000000" w:rsidRDefault="00000000" w:rsidRPr="00000000" w14:paraId="0000000A">
            <w:pPr>
              <w:rPr>
                <w:highlight w:val="yellow"/>
              </w:rPr>
            </w:pPr>
            <w:r w:rsidDel="00000000" w:rsidR="00000000" w:rsidRPr="00000000">
              <w:rPr>
                <w:highlight w:val="yellow"/>
                <w:rtl w:val="0"/>
              </w:rPr>
              <w:t xml:space="preserve">The application must ensure that the application contains online forms which are available pre-authentication (e.g. registration, customer feedback, etc.), the following mechanisms should be implemented: CAPTCHA, or equivalent, on the initial page of the online registration, Pre-authentication pages should be tested for DoS (Denial of Service) attacks to ensure capacity is adequate, the online form must follow Secure Coding Guidelines (i.e., user input validation for special characters, SQL statements, etc.)</w:t>
            </w:r>
          </w:p>
        </w:tc>
      </w:tr>
      <w:tr>
        <w:trPr>
          <w:cantSplit w:val="0"/>
          <w:tblHeader w:val="0"/>
        </w:trPr>
        <w:tc>
          <w:tcPr/>
          <w:p w:rsidR="00000000" w:rsidDel="00000000" w:rsidP="00000000" w:rsidRDefault="00000000" w:rsidRPr="00000000" w14:paraId="0000000B">
            <w:pPr>
              <w:rPr>
                <w:highlight w:val="yellow"/>
              </w:rPr>
            </w:pPr>
            <w:r w:rsidDel="00000000" w:rsidR="00000000" w:rsidRPr="00000000">
              <w:rPr>
                <w:highlight w:val="yellow"/>
                <w:rtl w:val="0"/>
              </w:rPr>
              <w:t xml:space="preserve">NFR-USA-004</w:t>
            </w:r>
          </w:p>
        </w:tc>
        <w:tc>
          <w:tcPr/>
          <w:p w:rsidR="00000000" w:rsidDel="00000000" w:rsidP="00000000" w:rsidRDefault="00000000" w:rsidRPr="00000000" w14:paraId="0000000C">
            <w:pPr>
              <w:rPr>
                <w:highlight w:val="yellow"/>
              </w:rPr>
            </w:pPr>
            <w:r w:rsidDel="00000000" w:rsidR="00000000" w:rsidRPr="00000000">
              <w:rPr>
                <w:highlight w:val="yellow"/>
                <w:rtl w:val="0"/>
              </w:rPr>
              <w:t xml:space="preserve">The application must ensure that the application contains online forms which are available pre-authentication (e.g. registration, customer feedback, etc.), the following mechanisms need to be implemented: CAPTCHA, or equivalent, on the initial page of the online registration, Pre-authentication pages should be tested for DoS (Denial of Service) attacks to ensure capacity is adequate, the online form must follow Secure Coding Guidelines (i.e., user input validation for special characters, SQL statements, etc.)</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NFR-USA-005</w:t>
            </w:r>
          </w:p>
        </w:tc>
        <w:tc>
          <w:tcPr/>
          <w:p w:rsidR="00000000" w:rsidDel="00000000" w:rsidP="00000000" w:rsidRDefault="00000000" w:rsidRPr="00000000" w14:paraId="0000000E">
            <w:pPr>
              <w:rPr/>
            </w:pPr>
            <w:r w:rsidDel="00000000" w:rsidR="00000000" w:rsidRPr="00000000">
              <w:rPr>
                <w:rtl w:val="0"/>
              </w:rPr>
              <w:t xml:space="preserve">Terms and Conditions: The application must ensure require the customer to accept the Terms &amp; Conditions at the first login to the application. This ensures compliance with PII regulations requiring Company group to inform the user of why Company  is accessing/collecting personal data and why Company  is using it.</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NFR-USA-006</w:t>
            </w:r>
          </w:p>
        </w:tc>
        <w:tc>
          <w:tcPr/>
          <w:p w:rsidR="00000000" w:rsidDel="00000000" w:rsidP="00000000" w:rsidRDefault="00000000" w:rsidRPr="00000000" w14:paraId="00000010">
            <w:pPr>
              <w:rPr/>
            </w:pPr>
            <w:r w:rsidDel="00000000" w:rsidR="00000000" w:rsidRPr="00000000">
              <w:rPr>
                <w:rtl w:val="0"/>
              </w:rPr>
              <w:t xml:space="preserve">The system should have the logout functionality in case of no action from user for 15 minutes.</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NFR-USA-007</w:t>
            </w:r>
          </w:p>
        </w:tc>
        <w:tc>
          <w:tcPr/>
          <w:p w:rsidR="00000000" w:rsidDel="00000000" w:rsidP="00000000" w:rsidRDefault="00000000" w:rsidRPr="00000000" w14:paraId="00000012">
            <w:pPr>
              <w:rPr/>
            </w:pPr>
            <w:r w:rsidDel="00000000" w:rsidR="00000000" w:rsidRPr="00000000">
              <w:rPr>
                <w:rtl w:val="0"/>
              </w:rPr>
              <w:t xml:space="preserve">The application cannot be opened in more than one browser in a system</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NFR-USA-008</w:t>
            </w:r>
          </w:p>
        </w:tc>
        <w:tc>
          <w:tcPr/>
          <w:p w:rsidR="00000000" w:rsidDel="00000000" w:rsidP="00000000" w:rsidRDefault="00000000" w:rsidRPr="00000000" w14:paraId="00000014">
            <w:pPr>
              <w:rPr/>
            </w:pPr>
            <w:r w:rsidDel="00000000" w:rsidR="00000000" w:rsidRPr="00000000">
              <w:rPr>
                <w:rtl w:val="0"/>
              </w:rPr>
              <w:t xml:space="preserve">System should not have any kind of data download functionality.</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NFR-USA-009</w:t>
            </w:r>
          </w:p>
        </w:tc>
        <w:tc>
          <w:tcPr/>
          <w:p w:rsidR="00000000" w:rsidDel="00000000" w:rsidP="00000000" w:rsidRDefault="00000000" w:rsidRPr="00000000" w14:paraId="00000016">
            <w:pPr>
              <w:rPr/>
            </w:pPr>
            <w:r w:rsidDel="00000000" w:rsidR="00000000" w:rsidRPr="00000000">
              <w:rPr>
                <w:rtl w:val="0"/>
              </w:rPr>
              <w:t xml:space="preserve">The module must be available 99.5% of the time, excluding scheduled maintenance</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NFR-USA-010</w:t>
            </w:r>
          </w:p>
        </w:tc>
        <w:tc>
          <w:tcPr/>
          <w:p w:rsidR="00000000" w:rsidDel="00000000" w:rsidP="00000000" w:rsidRDefault="00000000" w:rsidRPr="00000000" w14:paraId="00000018">
            <w:pPr>
              <w:rPr/>
            </w:pPr>
            <w:r w:rsidDel="00000000" w:rsidR="00000000" w:rsidRPr="00000000">
              <w:rPr>
                <w:rtl w:val="0"/>
              </w:rPr>
              <w:t xml:space="preserve">The system must maintain consistency of data during updates, merges, or concurrent access.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NFR-USA-011</w:t>
            </w:r>
          </w:p>
        </w:tc>
        <w:tc>
          <w:tcPr/>
          <w:p w:rsidR="00000000" w:rsidDel="00000000" w:rsidP="00000000" w:rsidRDefault="00000000" w:rsidRPr="00000000" w14:paraId="0000001A">
            <w:pPr>
              <w:rPr/>
            </w:pPr>
            <w:r w:rsidDel="00000000" w:rsidR="00000000" w:rsidRPr="00000000">
              <w:rPr>
                <w:rtl w:val="0"/>
              </w:rPr>
              <w:t xml:space="preserve">The system should support at least 100 concurrent users without performance degradation.</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NFR-USA-012</w:t>
            </w:r>
          </w:p>
        </w:tc>
        <w:tc>
          <w:tcPr/>
          <w:p w:rsidR="00000000" w:rsidDel="00000000" w:rsidP="00000000" w:rsidRDefault="00000000" w:rsidRPr="00000000" w14:paraId="0000001C">
            <w:pPr>
              <w:rPr/>
            </w:pPr>
            <w:r w:rsidDel="00000000" w:rsidR="00000000" w:rsidRPr="00000000">
              <w:rPr>
                <w:rtl w:val="0"/>
              </w:rPr>
              <w:t xml:space="preserve">The system shall respond to user actions within 3 seconds.</w:t>
            </w:r>
          </w:p>
        </w:tc>
      </w:tr>
      <w:tr>
        <w:trPr>
          <w:cantSplit w:val="0"/>
          <w:tblHeader w:val="0"/>
        </w:trPr>
        <w:tc>
          <w:tcPr/>
          <w:p w:rsidR="00000000" w:rsidDel="00000000" w:rsidP="00000000" w:rsidRDefault="00000000" w:rsidRPr="00000000" w14:paraId="0000001D">
            <w:pPr>
              <w:rPr>
                <w:color w:val="c0504d"/>
              </w:rPr>
            </w:pPr>
            <w:r w:rsidDel="00000000" w:rsidR="00000000" w:rsidRPr="00000000">
              <w:rPr>
                <w:color w:val="c0504d"/>
                <w:rtl w:val="0"/>
              </w:rPr>
              <w:t xml:space="preserve">NFR-USA-013</w:t>
            </w:r>
          </w:p>
        </w:tc>
        <w:tc>
          <w:tcPr/>
          <w:p w:rsidR="00000000" w:rsidDel="00000000" w:rsidP="00000000" w:rsidRDefault="00000000" w:rsidRPr="00000000" w14:paraId="0000001E">
            <w:pPr>
              <w:rPr>
                <w:color w:val="c0504d"/>
              </w:rPr>
            </w:pPr>
            <w:r w:rsidDel="00000000" w:rsidR="00000000" w:rsidRPr="00000000">
              <w:rPr>
                <w:color w:val="c0504d"/>
                <w:rtl w:val="0"/>
              </w:rPr>
              <w:t xml:space="preserve">The application must provide a common user interface for all user roles.</w:t>
            </w:r>
          </w:p>
        </w:tc>
      </w:tr>
      <w:tr>
        <w:trPr>
          <w:cantSplit w:val="0"/>
          <w:tblHeader w:val="0"/>
        </w:trPr>
        <w:tc>
          <w:tcPr/>
          <w:p w:rsidR="00000000" w:rsidDel="00000000" w:rsidP="00000000" w:rsidRDefault="00000000" w:rsidRPr="00000000" w14:paraId="0000001F">
            <w:pPr>
              <w:rPr>
                <w:color w:val="c0504d"/>
              </w:rPr>
            </w:pPr>
            <w:r w:rsidDel="00000000" w:rsidR="00000000" w:rsidRPr="00000000">
              <w:rPr>
                <w:color w:val="c0504d"/>
                <w:rtl w:val="0"/>
              </w:rPr>
              <w:t xml:space="preserve">NFR-USA-014</w:t>
            </w:r>
          </w:p>
        </w:tc>
        <w:tc>
          <w:tcPr/>
          <w:p w:rsidR="00000000" w:rsidDel="00000000" w:rsidP="00000000" w:rsidRDefault="00000000" w:rsidRPr="00000000" w14:paraId="00000020">
            <w:pPr>
              <w:rPr>
                <w:color w:val="c0504d"/>
              </w:rPr>
            </w:pPr>
            <w:r w:rsidDel="00000000" w:rsidR="00000000" w:rsidRPr="00000000">
              <w:rPr>
                <w:color w:val="c0504d"/>
                <w:rtl w:val="0"/>
              </w:rPr>
              <w:t xml:space="preserve">Dynamic logos and institution names must be context-sensitive and role-based.</w:t>
            </w:r>
          </w:p>
        </w:tc>
      </w:tr>
      <w:tr>
        <w:trPr>
          <w:cantSplit w:val="0"/>
          <w:tblHeader w:val="0"/>
        </w:trPr>
        <w:tc>
          <w:tcPr/>
          <w:p w:rsidR="00000000" w:rsidDel="00000000" w:rsidP="00000000" w:rsidRDefault="00000000" w:rsidRPr="00000000" w14:paraId="00000021">
            <w:pPr>
              <w:rPr>
                <w:color w:val="c0504d"/>
              </w:rPr>
            </w:pPr>
            <w:r w:rsidDel="00000000" w:rsidR="00000000" w:rsidRPr="00000000">
              <w:rPr>
                <w:color w:val="c0504d"/>
                <w:rtl w:val="0"/>
              </w:rPr>
              <w:t xml:space="preserve">NFR-USA-015</w:t>
            </w:r>
          </w:p>
        </w:tc>
        <w:tc>
          <w:tcPr/>
          <w:p w:rsidR="00000000" w:rsidDel="00000000" w:rsidP="00000000" w:rsidRDefault="00000000" w:rsidRPr="00000000" w14:paraId="00000022">
            <w:pPr>
              <w:rPr>
                <w:color w:val="c0504d"/>
              </w:rPr>
            </w:pPr>
            <w:r w:rsidDel="00000000" w:rsidR="00000000" w:rsidRPr="00000000">
              <w:rPr>
                <w:color w:val="c0504d"/>
                <w:rtl w:val="0"/>
              </w:rPr>
              <w:t xml:space="preserve">The system must show personalized welcome messages and profile information based on locale.</w:t>
            </w:r>
          </w:p>
        </w:tc>
      </w:tr>
      <w:tr>
        <w:trPr>
          <w:cantSplit w:val="0"/>
          <w:tblHeader w:val="0"/>
        </w:trPr>
        <w:tc>
          <w:tcPr/>
          <w:p w:rsidR="00000000" w:rsidDel="00000000" w:rsidP="00000000" w:rsidRDefault="00000000" w:rsidRPr="00000000" w14:paraId="00000023">
            <w:pPr>
              <w:rPr>
                <w:color w:val="c0504d"/>
              </w:rPr>
            </w:pPr>
            <w:r w:rsidDel="00000000" w:rsidR="00000000" w:rsidRPr="00000000">
              <w:rPr>
                <w:color w:val="c0504d"/>
                <w:rtl w:val="0"/>
              </w:rPr>
              <w:t xml:space="preserve">NFR-USA-016</w:t>
            </w:r>
          </w:p>
        </w:tc>
        <w:tc>
          <w:tcPr/>
          <w:p w:rsidR="00000000" w:rsidDel="00000000" w:rsidP="00000000" w:rsidRDefault="00000000" w:rsidRPr="00000000" w14:paraId="00000024">
            <w:pPr>
              <w:rPr>
                <w:color w:val="c0504d"/>
              </w:rPr>
            </w:pPr>
            <w:r w:rsidDel="00000000" w:rsidR="00000000" w:rsidRPr="00000000">
              <w:rPr>
                <w:color w:val="c0504d"/>
                <w:rtl w:val="0"/>
              </w:rPr>
              <w:t xml:space="preserve">Notification banners must be dismissible and configurable based on role.</w:t>
            </w:r>
          </w:p>
        </w:tc>
      </w:tr>
      <w:tr>
        <w:trPr>
          <w:cantSplit w:val="0"/>
          <w:tblHeader w:val="0"/>
        </w:trPr>
        <w:tc>
          <w:tcPr/>
          <w:p w:rsidR="00000000" w:rsidDel="00000000" w:rsidP="00000000" w:rsidRDefault="00000000" w:rsidRPr="00000000" w14:paraId="00000025">
            <w:pPr>
              <w:rPr>
                <w:color w:val="c0504d"/>
              </w:rPr>
            </w:pPr>
            <w:r w:rsidDel="00000000" w:rsidR="00000000" w:rsidRPr="00000000">
              <w:rPr>
                <w:color w:val="c0504d"/>
                <w:rtl w:val="0"/>
              </w:rPr>
              <w:t xml:space="preserve">NFR-USA-017</w:t>
            </w:r>
          </w:p>
        </w:tc>
        <w:tc>
          <w:tcPr/>
          <w:p w:rsidR="00000000" w:rsidDel="00000000" w:rsidP="00000000" w:rsidRDefault="00000000" w:rsidRPr="00000000" w14:paraId="00000026">
            <w:pPr>
              <w:rPr>
                <w:color w:val="c0504d"/>
              </w:rPr>
            </w:pPr>
            <w:r w:rsidDel="00000000" w:rsidR="00000000" w:rsidRPr="00000000">
              <w:rPr>
                <w:color w:val="c0504d"/>
                <w:rtl w:val="0"/>
              </w:rPr>
              <w:t xml:space="preserve">Menus must be role-based and collapsible to improve navigation.</w:t>
            </w:r>
          </w:p>
        </w:tc>
      </w:tr>
      <w:tr>
        <w:trPr>
          <w:cantSplit w:val="0"/>
          <w:tblHeader w:val="0"/>
        </w:trPr>
        <w:tc>
          <w:tcPr/>
          <w:p w:rsidR="00000000" w:rsidDel="00000000" w:rsidP="00000000" w:rsidRDefault="00000000" w:rsidRPr="00000000" w14:paraId="00000027">
            <w:pPr>
              <w:rPr>
                <w:color w:val="c0504d"/>
              </w:rPr>
            </w:pPr>
            <w:r w:rsidDel="00000000" w:rsidR="00000000" w:rsidRPr="00000000">
              <w:rPr>
                <w:color w:val="548dd4"/>
                <w:rtl w:val="0"/>
              </w:rPr>
              <w:t xml:space="preserve">NFR-USA-018</w:t>
            </w:r>
            <w:r w:rsidDel="00000000" w:rsidR="00000000" w:rsidRPr="00000000">
              <w:rPr>
                <w:rtl w:val="0"/>
              </w:rPr>
            </w:r>
          </w:p>
        </w:tc>
        <w:tc>
          <w:tcPr/>
          <w:p w:rsidR="00000000" w:rsidDel="00000000" w:rsidP="00000000" w:rsidRDefault="00000000" w:rsidRPr="00000000" w14:paraId="00000028">
            <w:pPr>
              <w:rPr>
                <w:color w:val="c0504d"/>
              </w:rPr>
            </w:pPr>
            <w:r w:rsidDel="00000000" w:rsidR="00000000" w:rsidRPr="00000000">
              <w:rPr>
                <w:color w:val="548dd4"/>
                <w:rtl w:val="0"/>
              </w:rPr>
              <w:t xml:space="preserve">The session management should be configurable from UI</w:t>
            </w:r>
            <w:r w:rsidDel="00000000" w:rsidR="00000000" w:rsidRPr="00000000">
              <w:rPr>
                <w:rtl w:val="0"/>
              </w:rPr>
            </w:r>
          </w:p>
        </w:tc>
      </w:tr>
      <w:tr>
        <w:trPr>
          <w:cantSplit w:val="0"/>
          <w:tblHeader w:val="0"/>
        </w:trPr>
        <w:tc>
          <w:tcPr/>
          <w:p w:rsidR="00000000" w:rsidDel="00000000" w:rsidP="00000000" w:rsidRDefault="00000000" w:rsidRPr="00000000" w14:paraId="00000029">
            <w:pPr>
              <w:rPr>
                <w:color w:val="548dd4"/>
              </w:rPr>
            </w:pPr>
            <w:r w:rsidDel="00000000" w:rsidR="00000000" w:rsidRPr="00000000">
              <w:rPr>
                <w:color w:val="548dd4"/>
                <w:rtl w:val="0"/>
              </w:rPr>
              <w:t xml:space="preserve">NFR-USA-019</w:t>
            </w:r>
          </w:p>
        </w:tc>
        <w:tc>
          <w:tcPr/>
          <w:p w:rsidR="00000000" w:rsidDel="00000000" w:rsidP="00000000" w:rsidRDefault="00000000" w:rsidRPr="00000000" w14:paraId="0000002A">
            <w:pPr>
              <w:rPr>
                <w:color w:val="548dd4"/>
              </w:rPr>
            </w:pPr>
            <w:r w:rsidDel="00000000" w:rsidR="00000000" w:rsidRPr="00000000">
              <w:rPr>
                <w:color w:val="548dd4"/>
                <w:rtl w:val="0"/>
              </w:rPr>
              <w:t xml:space="preserve">template confirmation should be done from application. Example: email</w:t>
            </w:r>
          </w:p>
        </w:tc>
      </w:tr>
      <w:tr>
        <w:trPr>
          <w:cantSplit w:val="0"/>
          <w:tblHeader w:val="0"/>
        </w:trPr>
        <w:tc>
          <w:tcPr/>
          <w:p w:rsidR="00000000" w:rsidDel="00000000" w:rsidP="00000000" w:rsidRDefault="00000000" w:rsidRPr="00000000" w14:paraId="0000002B">
            <w:pPr>
              <w:rPr>
                <w:color w:val="548dd4"/>
              </w:rPr>
            </w:pPr>
            <w:r w:rsidDel="00000000" w:rsidR="00000000" w:rsidRPr="00000000">
              <w:rPr>
                <w:color w:val="548dd4"/>
                <w:rtl w:val="0"/>
              </w:rPr>
              <w:t xml:space="preserve">NFR-USA-020</w:t>
            </w:r>
          </w:p>
        </w:tc>
        <w:tc>
          <w:tcPr/>
          <w:p w:rsidR="00000000" w:rsidDel="00000000" w:rsidP="00000000" w:rsidRDefault="00000000" w:rsidRPr="00000000" w14:paraId="0000002C">
            <w:pPr>
              <w:rPr>
                <w:color w:val="548dd4"/>
              </w:rPr>
            </w:pPr>
            <w:r w:rsidDel="00000000" w:rsidR="00000000" w:rsidRPr="00000000">
              <w:rPr>
                <w:color w:val="548dd4"/>
                <w:rtl w:val="0"/>
              </w:rPr>
              <w:t xml:space="preserve">In case of an exception, a proper error page with the relevant error code and message should be displayed.</w:t>
            </w:r>
          </w:p>
        </w:tc>
      </w:tr>
      <w:tr>
        <w:trPr>
          <w:cantSplit w:val="0"/>
          <w:tblHeader w:val="0"/>
        </w:trPr>
        <w:tc>
          <w:tcPr/>
          <w:p w:rsidR="00000000" w:rsidDel="00000000" w:rsidP="00000000" w:rsidRDefault="00000000" w:rsidRPr="00000000" w14:paraId="0000002D">
            <w:pPr>
              <w:rPr>
                <w:color w:val="548dd4"/>
              </w:rPr>
            </w:pPr>
            <w:r w:rsidDel="00000000" w:rsidR="00000000" w:rsidRPr="00000000">
              <w:rPr>
                <w:color w:val="548dd4"/>
                <w:rtl w:val="0"/>
              </w:rPr>
              <w:t xml:space="preserve">NFR-USA-021</w:t>
            </w:r>
          </w:p>
        </w:tc>
        <w:tc>
          <w:tcPr/>
          <w:p w:rsidR="00000000" w:rsidDel="00000000" w:rsidP="00000000" w:rsidRDefault="00000000" w:rsidRPr="00000000" w14:paraId="0000002E">
            <w:pPr>
              <w:rPr>
                <w:color w:val="548dd4"/>
              </w:rPr>
            </w:pPr>
            <w:r w:rsidDel="00000000" w:rsidR="00000000" w:rsidRPr="00000000">
              <w:rPr>
                <w:color w:val="548dd4"/>
                <w:rtl w:val="0"/>
              </w:rPr>
              <w:t xml:space="preserve">Guidelines for document management should be provided</w:t>
            </w:r>
          </w:p>
        </w:tc>
      </w:tr>
      <w:tr>
        <w:trPr>
          <w:cantSplit w:val="0"/>
          <w:trHeight w:val="1322.919921875" w:hRule="atLeast"/>
          <w:tblHeader w:val="0"/>
        </w:trPr>
        <w:tc>
          <w:tcPr/>
          <w:p w:rsidR="00000000" w:rsidDel="00000000" w:rsidP="00000000" w:rsidRDefault="00000000" w:rsidRPr="00000000" w14:paraId="0000002F">
            <w:pPr>
              <w:rPr>
                <w:color w:val="548dd4"/>
              </w:rPr>
            </w:pPr>
            <w:r w:rsidDel="00000000" w:rsidR="00000000" w:rsidRPr="00000000">
              <w:rPr>
                <w:color w:val="548dd4"/>
                <w:rtl w:val="0"/>
              </w:rPr>
              <w:t xml:space="preserve">NFR-USA-022</w:t>
            </w:r>
          </w:p>
        </w:tc>
        <w:tc>
          <w:tcPr/>
          <w:p w:rsidR="00000000" w:rsidDel="00000000" w:rsidP="00000000" w:rsidRDefault="00000000" w:rsidRPr="00000000" w14:paraId="00000030">
            <w:pPr>
              <w:rPr>
                <w:color w:val="548dd4"/>
              </w:rPr>
            </w:pPr>
            <w:r w:rsidDel="00000000" w:rsidR="00000000" w:rsidRPr="00000000">
              <w:rPr>
                <w:color w:val="548dd4"/>
                <w:rtl w:val="0"/>
              </w:rPr>
              <w:t xml:space="preserve">Bulk document download facility should be available</w:t>
            </w:r>
          </w:p>
        </w:tc>
      </w:tr>
      <w:tr>
        <w:trPr>
          <w:cantSplit w:val="0"/>
          <w:tblHeader w:val="0"/>
        </w:trPr>
        <w:tc>
          <w:tcPr/>
          <w:p w:rsidR="00000000" w:rsidDel="00000000" w:rsidP="00000000" w:rsidRDefault="00000000" w:rsidRPr="00000000" w14:paraId="00000031">
            <w:pPr>
              <w:rPr>
                <w:color w:val="548dd4"/>
              </w:rPr>
            </w:pPr>
            <w:r w:rsidDel="00000000" w:rsidR="00000000" w:rsidRPr="00000000">
              <w:rPr>
                <w:color w:val="548dd4"/>
                <w:rtl w:val="0"/>
              </w:rPr>
              <w:t xml:space="preserve">NFR-USA-023</w:t>
            </w:r>
          </w:p>
        </w:tc>
        <w:tc>
          <w:tcPr/>
          <w:p w:rsidR="00000000" w:rsidDel="00000000" w:rsidP="00000000" w:rsidRDefault="00000000" w:rsidRPr="00000000" w14:paraId="00000032">
            <w:pPr>
              <w:rPr>
                <w:color w:val="548dd4"/>
              </w:rPr>
            </w:pPr>
            <w:r w:rsidDel="00000000" w:rsidR="00000000" w:rsidRPr="00000000">
              <w:rPr>
                <w:color w:val="548dd4"/>
                <w:rtl w:val="0"/>
              </w:rPr>
              <w:t xml:space="preserve">The application should support implicit saving of data</w:t>
            </w:r>
          </w:p>
        </w:tc>
      </w:tr>
      <w:tr>
        <w:trPr>
          <w:cantSplit w:val="0"/>
          <w:tblHeader w:val="0"/>
        </w:trPr>
        <w:tc>
          <w:tcPr/>
          <w:p w:rsidR="00000000" w:rsidDel="00000000" w:rsidP="00000000" w:rsidRDefault="00000000" w:rsidRPr="00000000" w14:paraId="00000033">
            <w:pPr>
              <w:rPr>
                <w:color w:val="548dd4"/>
              </w:rPr>
            </w:pPr>
            <w:r w:rsidDel="00000000" w:rsidR="00000000" w:rsidRPr="00000000">
              <w:rPr>
                <w:color w:val="548dd4"/>
                <w:rtl w:val="0"/>
              </w:rPr>
              <w:t xml:space="preserve">NFR-USA-024</w:t>
            </w:r>
          </w:p>
        </w:tc>
        <w:tc>
          <w:tcPr/>
          <w:p w:rsidR="00000000" w:rsidDel="00000000" w:rsidP="00000000" w:rsidRDefault="00000000" w:rsidRPr="00000000" w14:paraId="00000034">
            <w:pPr>
              <w:rPr>
                <w:color w:val="548dd4"/>
              </w:rPr>
            </w:pPr>
            <w:r w:rsidDel="00000000" w:rsidR="00000000" w:rsidRPr="00000000">
              <w:rPr>
                <w:color w:val="548dd4"/>
                <w:rtl w:val="0"/>
              </w:rPr>
              <w:t xml:space="preserve">All telemetry data should be captured</w:t>
            </w:r>
          </w:p>
        </w:tc>
      </w:tr>
      <w:tr>
        <w:trPr>
          <w:cantSplit w:val="0"/>
          <w:tblHeader w:val="0"/>
        </w:trPr>
        <w:tc>
          <w:tcPr/>
          <w:p w:rsidR="00000000" w:rsidDel="00000000" w:rsidP="00000000" w:rsidRDefault="00000000" w:rsidRPr="00000000" w14:paraId="00000035">
            <w:pPr>
              <w:rPr>
                <w:color w:val="548dd4"/>
              </w:rPr>
            </w:pPr>
            <w:r w:rsidDel="00000000" w:rsidR="00000000" w:rsidRPr="00000000">
              <w:rPr>
                <w:color w:val="548dd4"/>
                <w:rtl w:val="0"/>
              </w:rPr>
              <w:t xml:space="preserve">NFR-USA-025</w:t>
            </w:r>
          </w:p>
        </w:tc>
        <w:tc>
          <w:tcPr/>
          <w:p w:rsidR="00000000" w:rsidDel="00000000" w:rsidP="00000000" w:rsidRDefault="00000000" w:rsidRPr="00000000" w14:paraId="00000036">
            <w:pPr>
              <w:rPr>
                <w:color w:val="548dd4"/>
              </w:rPr>
            </w:pPr>
            <w:r w:rsidDel="00000000" w:rsidR="00000000" w:rsidRPr="00000000">
              <w:rPr>
                <w:color w:val="548dd4"/>
                <w:rtl w:val="0"/>
              </w:rPr>
              <w:t xml:space="preserve">Teams Calendar and meeting integration in iWork</w:t>
            </w:r>
          </w:p>
        </w:tc>
      </w:tr>
      <w:tr>
        <w:trPr>
          <w:cantSplit w:val="0"/>
          <w:tblHeader w:val="0"/>
        </w:trPr>
        <w:tc>
          <w:tcPr/>
          <w:p w:rsidR="00000000" w:rsidDel="00000000" w:rsidP="00000000" w:rsidRDefault="00000000" w:rsidRPr="00000000" w14:paraId="00000037">
            <w:pPr>
              <w:rPr>
                <w:color w:val="548dd4"/>
              </w:rPr>
            </w:pPr>
            <w:r w:rsidDel="00000000" w:rsidR="00000000" w:rsidRPr="00000000">
              <w:rPr>
                <w:color w:val="548dd4"/>
                <w:rtl w:val="0"/>
              </w:rPr>
              <w:t xml:space="preserve">NFR-USA-026</w:t>
            </w:r>
          </w:p>
        </w:tc>
        <w:tc>
          <w:tcPr/>
          <w:p w:rsidR="00000000" w:rsidDel="00000000" w:rsidP="00000000" w:rsidRDefault="00000000" w:rsidRPr="00000000" w14:paraId="00000038">
            <w:pPr>
              <w:rPr>
                <w:color w:val="548dd4"/>
              </w:rPr>
            </w:pPr>
            <w:r w:rsidDel="00000000" w:rsidR="00000000" w:rsidRPr="00000000">
              <w:rPr>
                <w:color w:val="548dd4"/>
                <w:rtl w:val="0"/>
              </w:rPr>
              <w:t xml:space="preserve">Data archival facility for all the logs should be available</w:t>
            </w:r>
          </w:p>
        </w:tc>
      </w:tr>
    </w:tbl>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xqYJYL710ANou/BXcDwgO5A/gA==">CgMxLjA4AHIhMUN4NzUyYTFYWFk3ZGVuRGtlU0dKazJodWdWaUU2Rklp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0x010100994A3583C365A040905F7C1BD675402C</vt:lpwstr>
  </property>
</Properties>
</file>