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KD-GAMS-Net: Knowledge Distillation Narrows the Pretraining Gap for a Lightweight Brain Tumor MRI Classifier, and Uncovers Pervasive Near-Duplication in a Merged Kaggle Corpus</w:t>
      </w:r>
    </w:p>
    <w:p>
      <w:pPr>
        <w:spacing w:after="60"/>
        <w:jc w:val="center"/>
      </w:pPr>
      <w:r>
        <w:rPr>
          <w:sz w:val="22"/>
          <w:szCs w:val="22"/>
        </w:rPr>
        <w:t xml:space="preserve">Divyakant Meva¹, Kalpesh Popat¹</w:t>
      </w:r>
    </w:p>
    <w:p>
      <w:pPr>
        <w:spacing w:after="300"/>
        <w:jc w:val="center"/>
      </w:pPr>
      <w:r>
        <w:rPr>
          <w:i/>
          <w:iCs/>
          <w:sz w:val="20"/>
          <w:szCs w:val="20"/>
        </w:rPr>
        <w:t xml:space="preserve">¹ Faculty of Computer Applications (FOCA), Marwadi University, Rajkot, Gujarat, India</w:t>
      </w:r>
    </w:p>
    <w:p>
      <w:pPr>
        <w:pStyle w:val="Heading2"/>
        <w:spacing w:after="120" w:before="240"/>
      </w:pPr>
      <w:r>
        <w:t xml:space="preserve">Abstract</w:t>
      </w:r>
    </w:p>
    <w:p>
      <w:pPr>
        <w:spacing w:after="160"/>
        <w:jc w:val="both"/>
      </w:pPr>
      <w:r>
        <w:rPr>
          <w:sz w:val="22"/>
          <w:szCs w:val="22"/>
        </w:rPr>
        <w:t xml:space="preserve">Background: A previous lightweight architecture (GAMS-Net; Ghost modules, Efficient Channel Attention, and a Multi-Scale Dilated Fusion block) trailed pretrained lightweight backbones on brain tumor MRI classification when trained from scratch. This study tests whether knowledge distillation (KD) from pretrained teachers closes that gap, and separately reports a large, previously unquantified data-quality issue discovered while auditing the evaluation split.</w:t>
      </w:r>
    </w:p>
    <w:p>
      <w:pPr>
        <w:spacing w:after="160"/>
        <w:jc w:val="both"/>
      </w:pPr>
      <w:r>
        <w:rPr>
          <w:sz w:val="22"/>
          <w:szCs w:val="22"/>
        </w:rPr>
        <w:t xml:space="preserve">Methods: We propose KD-GAMS-Net (3.164M parameters): GAMS-Net's Ghost modules retained, its Multi-Scale Dilated Fusion block doubled, its channel attention (ECA) replaced with CBAM-style spatial attention, and the whole network trained with a focal-loss-plus-KD objective distilled from a frozen MobileNetV2 + EfficientNet-B0 teacher ensemble. It was benchmarked against a faithful from-scratch GAMS-Net reproduction (2.956M parameters) and the two pretrained teachers, all evaluated on a stratified split of a 13,351-image, four-class (glioma, meningioma, pituitary, no-tumor) merged corpus, audited for near-duplicate leakage via perceptual hashing, with a genuine per-sample paired McNemar's test and a three-seed (42, 123, 2024) robustness protocol.</w:t>
      </w:r>
    </w:p>
    <w:p>
      <w:pPr>
        <w:spacing w:after="160"/>
        <w:jc w:val="both"/>
      </w:pPr>
      <w:r>
        <w:rPr>
          <w:sz w:val="22"/>
          <w:szCs w:val="22"/>
        </w:rPr>
        <w:t xml:space="preserve">Results: The leakage audit flagged 3,722 near-duplicate pairs, removing 1,184 of 2,003 constructed test images (59.1%) — including 356 of 375 no-tumor images (94.9%) — leaving an 819-image leak-audited test set. On this set, KD-GAMS-Net reached 96.70% ± 0.43% mean accuracy across seeds, against 96.21% ± 1.68% for the GAMS-Net reproduction, 97.96% ± 0.75% for MobileNetV2, and 97.56% ± 0.26% for EfficientNet-B0: a roughly four-fold reduction in run-to-run variance and a narrowing of the previously reported 5–6-point pretraining gap to about 1–1.3 points, though the remaining gap to both pretrained teachers was only borderline by a seed-level Welch's t-test (p = 0.055–0.082, n = 3) and not significant against the from-scratch baseline (p = 0.669). A genuine paired McNemar's test at seed 42 found that removing KD from the recipe was the only ablation change reaching significance (−1.47 points, p = 0.045); doubling MSDF (−0.61 points) and the attention swap (−0.49 points) were not significant alone.</w:t>
      </w:r>
    </w:p>
    <w:p>
      <w:pPr>
        <w:spacing w:after="160"/>
        <w:jc w:val="both"/>
      </w:pPr>
      <w:r>
        <w:rPr>
          <w:sz w:val="22"/>
          <w:szCs w:val="22"/>
        </w:rPr>
        <w:t xml:space="preserve">Conclusion: Knowledge distillation measurably stabilizes and modestly improves training a compact from-scratch brain-tumor classifier without any inference-time dependency on the teachers, but the more consequential finding is methodological: a widely used merged Kaggle brain-tumor MRI corpus contains near-duplicate images severe enough to remove the majority of a naively constructed test set, with one class disproportionately affected. We report both findings directly, including a parameter-counting artifact we discovered and corrected during analysis.</w:t>
      </w:r>
    </w:p>
    <w:p>
      <w:pPr>
        <w:spacing w:after="160"/>
        <w:jc w:val="both"/>
      </w:pPr>
      <w:r>
        <w:rPr>
          <w:i/>
          <w:iCs/>
          <w:sz w:val="22"/>
          <w:szCs w:val="22"/>
        </w:rPr>
        <w:t xml:space="preserve">Keywords: brain tumor MRI classification; knowledge distillation; lightweight convolutional neural network; data leakage; near-duplicate images; McNemar's test; reproducible benchmarking.</w:t>
      </w:r>
    </w:p>
    <w:p>
      <w:r>
        <w:br w:type="page"/>
      </w:r>
    </w:p>
    <w:p>
      <w:pPr>
        <w:pStyle w:val="Heading1"/>
        <w:spacing w:after="160" w:before="320"/>
      </w:pPr>
      <w:r>
        <w:t xml:space="preserve">1. Introduction</w:t>
      </w:r>
    </w:p>
    <w:p>
      <w:pPr>
        <w:spacing w:after="160"/>
        <w:jc w:val="both"/>
      </w:pPr>
      <w:r>
        <w:rPr>
          <w:sz w:val="22"/>
          <w:szCs w:val="22"/>
        </w:rPr>
        <w:t xml:space="preserve">A companion study of ours proposed GAMS-Net, a 2.82–2.96-million-parameter CNN combining Ghost modules, Efficient Channel Attention (ECA), and a Multi-Scale Dilated Fusion (MSDF) block for four-class brain tumor MRI classification, and reported — honestly, rather than as a hidden negative result — that training it from random initialization did not close the accuracy gap to ImageNet-pretrained lightweight backbones (MobileNetV2, EfficientNet-B0) on the same task. That study's own component ablation offered a clear diagnosis: Ghost modules and the MSDF block were each independently justified, but the absence of pretraining, not the architecture, was the dominant factor separating GAMS-Net from its pretrained competitors.</w:t>
      </w:r>
    </w:p>
    <w:p>
      <w:pPr>
        <w:spacing w:after="160"/>
        <w:jc w:val="both"/>
      </w:pPr>
      <w:r>
        <w:rPr>
          <w:sz w:val="22"/>
          <w:szCs w:val="22"/>
        </w:rPr>
        <w:t xml:space="preserve">This paper tests the most direct fix implied by that diagnosis: knowledge distillation (KD) [1] from pretrained teachers, which injects pretrained-quality decision boundaries into a compact model during training while leaving the deployed model exactly as small and exactly as independent of pretrained weights at inference time as the original design goal required. We combine KD with two secondary, evidence-motivated changes — doubling the MSDF block (the strongest positive contributor in the prior ablation) and replacing ECA with CBAM-style spatial attention [2] (motivated by the prior study's confusion matrices, which showed errors concentrated at specific class boundaries rather than distributed as a generic channel-recalibration problem) — into a single proposed architecture, KD-GAMS-Net.</w:t>
      </w:r>
    </w:p>
    <w:p>
      <w:pPr>
        <w:spacing w:after="160"/>
        <w:jc w:val="both"/>
      </w:pPr>
      <w:r>
        <w:rPr>
          <w:sz w:val="22"/>
          <w:szCs w:val="22"/>
        </w:rPr>
        <w:t xml:space="preserve">In the course of constructing a leakage-audited evaluation split for this comparison, we discovered a substantially larger data-quality problem than either study anticipated: 59.1% of a stratified test split drawn from this specific merged Kaggle corpus consisted of near-duplicate images already present in the training pool, with the no-tumor class alone losing 94.9% of its test images. This is a first-order finding for anyone using this corpus, and we report it with the same priority as the knowledge-distillation result rather than as a footnote.</w:t>
      </w:r>
    </w:p>
    <w:p>
      <w:pPr>
        <w:spacing w:after="160"/>
        <w:jc w:val="both"/>
      </w:pPr>
      <w:r>
        <w:rPr>
          <w:sz w:val="22"/>
          <w:szCs w:val="22"/>
        </w:rPr>
        <w:t xml:space="preserve">This paper's contributions are therefore twofold and are reported with equal weight. First, we show that knowledge distillation measurably stabilizes (roughly four-fold lower run-to-run variance) and modestly improves (statistically supported by a genuine paired McNemar's test, though not by an underpowered three-seed comparison) a compact, from-scratch brain-tumor classifier, substantially narrowing — without fully closing — the gap to pretrained lightweight networks. Second, we quantify, for the specific merged corpus lineage used by this and several other published studies, a near-duplication rate severe enough to remove the majority of a naive test split and to leave one class with as few as 19 independent test images, and we discuss the resulting implications for how accuracy figures on this corpus should be interpreted.</w:t>
      </w:r>
    </w:p>
    <w:p>
      <w:pPr>
        <w:pStyle w:val="Heading1"/>
        <w:spacing w:after="160" w:before="320"/>
      </w:pPr>
      <w:r>
        <w:t xml:space="preserve">2. Related Work</w:t>
      </w:r>
    </w:p>
    <w:p>
      <w:pPr>
        <w:pStyle w:val="Heading2"/>
        <w:spacing w:after="120" w:before="240"/>
      </w:pPr>
      <w:r>
        <w:t xml:space="preserve">2.1 Lightweight CNNs for brain tumor MRI classification</w:t>
      </w:r>
    </w:p>
    <w:p>
      <w:pPr>
        <w:spacing w:after="160"/>
        <w:jc w:val="both"/>
      </w:pPr>
      <w:r>
        <w:rPr>
          <w:sz w:val="22"/>
          <w:szCs w:val="22"/>
        </w:rPr>
        <w:t xml:space="preserve">Appasami and Savarimuthu [10] proposed a custom lightweight CNN for brain tumor MRI classification, comparing it against pretrained VGG, Xception, and ResNet backbones. Khan et al. [11] introduced ShallowMRI, a lightweight, attention-augmented CNN for multi-class brain tumor classification. Ashwini et al. [14] proposed ESRNet, an efficient skip-connection residual network for the same task. Jim et al. [12] proposed XLLC-Net, an approximately 3-million-parameter explainable CNN for histopathological lung cancer classification — a directly comparable parameter budget to the architecture examined here, though for a different imaging domain.</w:t>
      </w:r>
    </w:p>
    <w:p>
      <w:pPr>
        <w:pStyle w:val="Heading2"/>
        <w:spacing w:after="120" w:before="240"/>
      </w:pPr>
      <w:r>
        <w:t xml:space="preserve">2.2 Attention mechanisms: channel versus spatial</w:t>
      </w:r>
    </w:p>
    <w:p>
      <w:pPr>
        <w:spacing w:after="160"/>
        <w:jc w:val="both"/>
      </w:pPr>
      <w:r>
        <w:rPr>
          <w:sz w:val="22"/>
          <w:szCs w:val="22"/>
        </w:rPr>
        <w:t xml:space="preserve">Efficient Channel Attention (ECA) [2] recalibrates channel-wise responses with a single 1-D convolution, adding a near-zero parameter cost. Several brain-tumor studies layer ECA onto an already-strong pretrained backbone: Pacal et al. [25] combined ECA with a Global Attention Mechanism on an EfficientNetV2 backbone and reported 99.76% accuracy on a large public brain-tumor MRI corpus. CBAM [3] instead pools channel-wise average- and max-activations into a 2-D map and gates spatially — targeting *where* to look rather than *which channel* to trust — and has been combined with knowledge distillation in medical imaging (a ResNet152V2+Swin-Transformer teacher distilled into an XCeption student augmented with CBAM, for diabetic retinopathy screening), motivating our use of the same combination here for a different pathology and a different, from-scratch student architecture.</w:t>
      </w:r>
    </w:p>
    <w:p>
      <w:pPr>
        <w:pStyle w:val="Heading2"/>
        <w:spacing w:after="120" w:before="240"/>
      </w:pPr>
      <w:r>
        <w:t xml:space="preserve">2.3 Ghost modules and multi-scale fusion</w:t>
      </w:r>
    </w:p>
    <w:p>
      <w:pPr>
        <w:spacing w:after="160"/>
        <w:jc w:val="both"/>
      </w:pPr>
      <w:r>
        <w:rPr>
          <w:sz w:val="22"/>
          <w:szCs w:val="22"/>
        </w:rPr>
        <w:t xml:space="preserve">GhostNet [4] showed that a large share of a standard convolution's output feature maps are cheaply derivable from a smaller intrinsic set, substantially reducing parameters and FLOPs at a small accuracy cost. Tumor size and shape vary considerably across glioma, meningioma, and pituitary lesions, motivating multi-scale feature extraction; a hierarchical multi-scale segmentation network combining a high-resolution branch with parallel multi-resolution branches [13] and a seven-branch parallel multi-scale classification network with explicit duplicate/group-controlled splitting both argue for multiple simultaneous effective receptive fields rather than a single fixed one — the rationale this study's MSDF block and its doubling are built on.</w:t>
      </w:r>
    </w:p>
    <w:p>
      <w:pPr>
        <w:pStyle w:val="Heading2"/>
        <w:spacing w:after="120" w:before="240"/>
      </w:pPr>
      <w:r>
        <w:t xml:space="preserve">2.4 Knowledge distillation for lightweight medical image classifiers</w:t>
      </w:r>
    </w:p>
    <w:p>
      <w:pPr>
        <w:spacing w:after="160"/>
        <w:jc w:val="both"/>
      </w:pPr>
      <w:r>
        <w:rPr>
          <w:sz w:val="22"/>
          <w:szCs w:val="22"/>
        </w:rPr>
        <w:t xml:space="preserve">Knowledge distillation, introduced by Hinton et al. [1], trains a compact student network against a temperature-softened output distribution from a larger, pretrained teacher rather than hard labels alone, transferring some of the teacher's learned decision structure without any inference-time dependency on it. This has recently been applied specifically to produce lightweight, deployment-ready medical image classifiers: Saha et al. [26] distilled knowledge from complex teacher CNNs into an ultra-light student for skin cancer classification, reporting accuracy competitive with the teacher at a small fraction of the parameter count and inference time. To our knowledge, KD has not previously been evaluated as a remedy specifically for the from-scratch-versus-pretrained accuracy gap identified for a Ghost/attention/multi-scale lightweight brain-tumor classifier, which is the gap this study targets directly.</w:t>
      </w:r>
    </w:p>
    <w:p>
      <w:pPr>
        <w:pStyle w:val="Heading2"/>
        <w:spacing w:after="120" w:before="240"/>
      </w:pPr>
      <w:r>
        <w:t xml:space="preserve">2.5 Data leakage and evaluation rigor in Kaggle-sourced brain-MRI studies</w:t>
      </w:r>
    </w:p>
    <w:p>
      <w:pPr>
        <w:spacing w:after="160"/>
        <w:jc w:val="both"/>
      </w:pPr>
      <w:r>
        <w:rPr>
          <w:sz w:val="22"/>
          <w:szCs w:val="22"/>
        </w:rPr>
        <w:t xml:space="preserve">The reliability of accuracy figures reported on Kaggle-sourced, multi-source “merged” brain-MRI corpora has been directly challenged in the literature. Pastore [16], in a published comment, raised the concern that random image-level splitting of such corpora risks placing near-duplicate or anatomically adjacent images from the same source into both training and test partitions; the original authors' reply [15] acknowledged the risk as a recognized prerequisite for valid evaluation. The BRISC dataset [20] was constructed with an explicit de-duplication step precisely to avoid this failure mode, and a PeerJ study fine-tuning ResNet50 on this same corpus lineage removed duplicates via MD5 hashing and deliberately avoided naively combining sources known to already overlap. Albzour and Lam [17] demonstrated an analogous failure mode in a different medical-imaging domain (leukemia cell classification). The present study's leakage audit (Section 4.1) provides what is, to our knowledge, the most severe quantified instance of this problem yet reported for this specific corpus lineage: a majority of a naively constructed test split, and nearly all of one class's test images, are near-duplicates of training images.</w:t>
      </w:r>
    </w:p>
    <w:p>
      <w:pPr>
        <w:pStyle w:val="Heading2"/>
        <w:spacing w:after="120" w:before="240"/>
      </w:pPr>
      <w:r>
        <w:t xml:space="preserve">2.6 Transfer learning versus training from scratch in medical imaging</w:t>
      </w:r>
    </w:p>
    <w:p>
      <w:pPr>
        <w:spacing w:after="160"/>
        <w:jc w:val="both"/>
      </w:pPr>
      <w:r>
        <w:rPr>
          <w:sz w:val="22"/>
          <w:szCs w:val="22"/>
        </w:rPr>
        <w:t xml:space="preserve">Zhang et al. [22] found pretrained initialization outperforming training from random initialization across three independent small-scale medical-imaging tasks. Raghu et al.'s [21] analysis of transfer learning for medical imaging found the size of the pretrained-vs-scratch gap to depend on model capacity relative to dataset size rather than on pretraining alone — directly relevant to interpreting whether knowledge distillation, rather than a change in architecture size, can substitute for the pretraining benefit that a small custom network otherwise lacks.</w:t>
      </w:r>
    </w:p>
    <w:p>
      <w:pPr>
        <w:pStyle w:val="Heading2"/>
        <w:spacing w:after="120" w:before="240"/>
      </w:pPr>
      <w:r>
        <w:t xml:space="preserve">2.7 Statistical rigor in classifier comparison</w:t>
      </w:r>
    </w:p>
    <w:p>
      <w:pPr>
        <w:spacing w:after="160"/>
        <w:jc w:val="both"/>
      </w:pPr>
      <w:r>
        <w:rPr>
          <w:sz w:val="22"/>
          <w:szCs w:val="22"/>
        </w:rPr>
        <w:t xml:space="preserve">Dietterich [18] recommended McNemar's test specifically for settings where repeated cross-validation retraining is computationally impractical, and Demšar [19] provided complementary guidance on comparing multiple classifiers with a small number of repeated runs. The companion GAMS-Net study was unable to compute a genuine McNemar's test because per-sample predictions were not retained across every model and seed; this study's pipeline caches every model's true/predicted labels immediately after evaluation specifically to enable a real, paired, per-sample test (Section 3.9), in addition to a seed-level comparison for the same low-power caveats noted by Dietterich and Demšar.</w:t>
      </w:r>
    </w:p>
    <w:p>
      <w:pPr>
        <w:pStyle w:val="Heading2"/>
        <w:spacing w:after="120" w:before="240"/>
      </w:pPr>
      <w:r>
        <w:t xml:space="preserve">2.8 Positioning of the present study</w:t>
      </w:r>
    </w:p>
    <w:p>
      <w:pPr>
        <w:spacing w:after="160"/>
        <w:jc w:val="both"/>
      </w:pPr>
      <w:r>
        <w:rPr>
          <w:sz w:val="22"/>
          <w:szCs w:val="22"/>
        </w:rPr>
        <w:t xml:space="preserve">Bouhafra and El Bahi's [23] systematic review of brain tumor detection literature (2020–2024) identifies inconsistent benchmarking protocols and insufficient leakage auditing as open problems in the field; An et al. [24] separately show that single-split evaluation on small-to-moderate medical-imaging datasets can be unreliable regardless of leakage. This study addresses both: a genuine paired significance test replacing the companion study's seed-level approximation, and a leakage audit whose outcome — a majority of the test split removed — is reported as a central, not incidental, result.</w:t>
      </w:r>
    </w:p>
    <w:p>
      <w:pPr>
        <w:pStyle w:val="Heading1"/>
        <w:spacing w:after="160" w:before="320"/>
      </w:pPr>
      <w:r>
        <w:t xml:space="preserve">3. Materials and Methods</w:t>
      </w:r>
    </w:p>
    <w:p>
      <w:pPr>
        <w:pStyle w:val="Heading2"/>
        <w:spacing w:after="120" w:before="240"/>
      </w:pPr>
      <w:r>
        <w:t xml:space="preserve">3.1 Dataset</w:t>
      </w:r>
    </w:p>
    <w:p>
      <w:pPr>
        <w:spacing w:after="160"/>
        <w:jc w:val="both"/>
      </w:pPr>
      <w:r>
        <w:rPr>
          <w:sz w:val="22"/>
          <w:szCs w:val="22"/>
        </w:rPr>
        <w:t xml:space="preserve">This study uses the same publicly available “Brain Tumor MRI Dataset (Merged)” corpus (Kaggle: sabersakin/brainmri) as the companion GAMS-Net study: four classes (glioma, meningioma, no-tumor, pituitary), 13,351 images in the labeled pool, following the same SARTAJ + Figshare [8] + Br35H merge lineage as the widely used Nickparvar Kaggle corpus [9]. As in that study, the archive's own shipped “test” folder was found to hold only four demonstration images and was not used; a stratified 70/15/15 split (train 9,346 / validation 2,003 / test 2,003 images, random seed 42) was constructed from the full labeled pool instead.</w:t>
      </w:r>
    </w:p>
    <w:p>
      <w:pPr>
        <w:pStyle w:val="Heading2"/>
        <w:spacing w:after="120" w:before="240"/>
      </w:pPr>
      <w:r>
        <w:t xml:space="preserve">3.2 Leakage audit: a majority of the constructed test split was near-duplicate</w:t>
      </w:r>
    </w:p>
    <w:p>
      <w:pPr>
        <w:spacing w:after="160"/>
        <w:jc w:val="both"/>
      </w:pPr>
      <w:r>
        <w:rPr>
          <w:sz w:val="22"/>
          <w:szCs w:val="22"/>
        </w:rPr>
        <w:t xml:space="preserve">Every test-set image was compared against the combined training+validation pool using a perceptual hash (pHash, hash size 8) of the grayscale-converted image, with a Hamming distance of 5 or fewer flagged as a near-duplicate — the identical method and threshold used in the companion GAMS-Net study, which found zero such pairs on its own constructed split of the same corpus. On this occasion, the audit flagged 3,722 near-duplicate pairs, involving 1,184 of the 2,003 test images (59.1%) and 2,432 distinct training/validation images. Table 1 breaks this down by class: the no-tumor class lost 356 of its 375 test images (94.9%), far more than glioma (33.2%), meningioma (62.6%), or pituitary (59.7%). All flagged test images were removed, leaving a final leak-audited test set of 819 images used for every result in Section 4.</w:t>
      </w:r>
    </w:p>
    <w:p>
      <w:pPr>
        <w:spacing w:after="240"/>
        <w:jc w:val="center"/>
      </w:pPr>
      <w:r>
        <w:rPr>
          <w:i/>
          <w:iCs/>
          <w:sz w:val="20"/>
          <w:szCs w:val="20"/>
        </w:rPr>
        <w:t xml:space="preserve">Table 1. Per-class test-set size before and after the perceptual-hash leakage audit.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900"/>
            <w:shd w:fill="D9E2F3" w:val="clear"/>
            <w:tcMar>
              <w:top w:type="dxa" w:w="60"/>
              <w:left w:type="dxa" w:w="80"/>
              <w:bottom w:type="dxa" w:w="60"/>
              <w:right w:type="dxa" w:w="80"/>
            </w:tcMar>
          </w:tcPr>
          <w:p>
            <w:pPr>
              <w:jc w:val="center"/>
            </w:pPr>
            <w:r>
              <w:rPr>
                <w:b/>
                <w:bCs/>
                <w:sz w:val="19"/>
                <w:szCs w:val="19"/>
              </w:rPr>
              <w:t xml:space="preserve">Class</w:t>
            </w:r>
          </w:p>
        </w:tc>
        <w:tc>
          <w:tcPr>
            <w:tcW w:type="dxa" w:w="1900"/>
            <w:shd w:fill="D9E2F3" w:val="clear"/>
            <w:tcMar>
              <w:top w:type="dxa" w:w="60"/>
              <w:left w:type="dxa" w:w="80"/>
              <w:bottom w:type="dxa" w:w="60"/>
              <w:right w:type="dxa" w:w="80"/>
            </w:tcMar>
          </w:tcPr>
          <w:p>
            <w:pPr>
              <w:jc w:val="center"/>
            </w:pPr>
            <w:r>
              <w:rPr>
                <w:b/>
                <w:bCs/>
                <w:sz w:val="19"/>
                <w:szCs w:val="19"/>
              </w:rPr>
              <w:t xml:space="preserve">Pre-audit test n</w:t>
            </w:r>
          </w:p>
        </w:tc>
        <w:tc>
          <w:tcPr>
            <w:tcW w:type="dxa" w:w="1900"/>
            <w:shd w:fill="D9E2F3" w:val="clear"/>
            <w:tcMar>
              <w:top w:type="dxa" w:w="60"/>
              <w:left w:type="dxa" w:w="80"/>
              <w:bottom w:type="dxa" w:w="60"/>
              <w:right w:type="dxa" w:w="80"/>
            </w:tcMar>
          </w:tcPr>
          <w:p>
            <w:pPr>
              <w:jc w:val="center"/>
            </w:pPr>
            <w:r>
              <w:rPr>
                <w:b/>
                <w:bCs/>
                <w:sz w:val="19"/>
                <w:szCs w:val="19"/>
              </w:rPr>
              <w:t xml:space="preserve">Post-audit test n</w:t>
            </w:r>
          </w:p>
        </w:tc>
        <w:tc>
          <w:tcPr>
            <w:tcW w:type="dxa" w:w="1700"/>
            <w:shd w:fill="D9E2F3" w:val="clear"/>
            <w:tcMar>
              <w:top w:type="dxa" w:w="60"/>
              <w:left w:type="dxa" w:w="80"/>
              <w:bottom w:type="dxa" w:w="60"/>
              <w:right w:type="dxa" w:w="80"/>
            </w:tcMar>
          </w:tcPr>
          <w:p>
            <w:pPr>
              <w:jc w:val="center"/>
            </w:pPr>
            <w:r>
              <w:rPr>
                <w:b/>
                <w:bCs/>
                <w:sz w:val="19"/>
                <w:szCs w:val="19"/>
              </w:rPr>
              <w:t xml:space="preserve">Removed</w:t>
            </w:r>
          </w:p>
        </w:tc>
        <w:tc>
          <w:tcPr>
            <w:tcW w:type="dxa" w:w="1500"/>
            <w:shd w:fill="D9E2F3" w:val="clear"/>
            <w:tcMar>
              <w:top w:type="dxa" w:w="60"/>
              <w:left w:type="dxa" w:w="80"/>
              <w:bottom w:type="dxa" w:w="60"/>
              <w:right w:type="dxa" w:w="80"/>
            </w:tcMar>
          </w:tcPr>
          <w:p>
            <w:pPr>
              <w:jc w:val="center"/>
            </w:pPr>
            <w:r>
              <w:rPr>
                <w:b/>
                <w:bCs/>
                <w:sz w:val="19"/>
                <w:szCs w:val="19"/>
              </w:rPr>
              <w:t xml:space="preserve">% removed</w:t>
            </w:r>
          </w:p>
        </w:tc>
      </w:tr>
      <w:tr>
        <w:trPr>
          <w:cantSplit/>
        </w:trPr>
        <w:tc>
          <w:tcPr>
            <w:tcW w:type="dxa" w:w="1900"/>
            <w:tcMar>
              <w:top w:type="dxa" w:w="60"/>
              <w:left w:type="dxa" w:w="80"/>
              <w:bottom w:type="dxa" w:w="60"/>
              <w:right w:type="dxa" w:w="80"/>
            </w:tcMar>
          </w:tcPr>
          <w:p>
            <w:pPr>
              <w:jc w:val="left"/>
            </w:pPr>
            <w:r>
              <w:rPr>
                <w:b w:val="false"/>
                <w:bCs w:val="false"/>
                <w:sz w:val="19"/>
                <w:szCs w:val="19"/>
              </w:rPr>
              <w:t xml:space="preserve">Glioma</w:t>
            </w:r>
          </w:p>
        </w:tc>
        <w:tc>
          <w:tcPr>
            <w:tcW w:type="dxa" w:w="1900"/>
            <w:tcMar>
              <w:top w:type="dxa" w:w="60"/>
              <w:left w:type="dxa" w:w="80"/>
              <w:bottom w:type="dxa" w:w="60"/>
              <w:right w:type="dxa" w:w="80"/>
            </w:tcMar>
          </w:tcPr>
          <w:p>
            <w:pPr>
              <w:jc w:val="center"/>
            </w:pPr>
            <w:r>
              <w:rPr>
                <w:b w:val="false"/>
                <w:bCs w:val="false"/>
                <w:sz w:val="19"/>
                <w:szCs w:val="19"/>
              </w:rPr>
              <w:t xml:space="preserve">596</w:t>
            </w:r>
          </w:p>
        </w:tc>
        <w:tc>
          <w:tcPr>
            <w:tcW w:type="dxa" w:w="1900"/>
            <w:tcMar>
              <w:top w:type="dxa" w:w="60"/>
              <w:left w:type="dxa" w:w="80"/>
              <w:bottom w:type="dxa" w:w="60"/>
              <w:right w:type="dxa" w:w="80"/>
            </w:tcMar>
          </w:tcPr>
          <w:p>
            <w:pPr>
              <w:jc w:val="center"/>
            </w:pPr>
            <w:r>
              <w:rPr>
                <w:b w:val="false"/>
                <w:bCs w:val="false"/>
                <w:sz w:val="19"/>
                <w:szCs w:val="19"/>
              </w:rPr>
              <w:t xml:space="preserve">398</w:t>
            </w:r>
          </w:p>
        </w:tc>
        <w:tc>
          <w:tcPr>
            <w:tcW w:type="dxa" w:w="1700"/>
            <w:tcMar>
              <w:top w:type="dxa" w:w="60"/>
              <w:left w:type="dxa" w:w="80"/>
              <w:bottom w:type="dxa" w:w="60"/>
              <w:right w:type="dxa" w:w="80"/>
            </w:tcMar>
          </w:tcPr>
          <w:p>
            <w:pPr>
              <w:jc w:val="center"/>
            </w:pPr>
            <w:r>
              <w:rPr>
                <w:b w:val="false"/>
                <w:bCs w:val="false"/>
                <w:sz w:val="19"/>
                <w:szCs w:val="19"/>
              </w:rPr>
              <w:t xml:space="preserve">198</w:t>
            </w:r>
          </w:p>
        </w:tc>
        <w:tc>
          <w:tcPr>
            <w:tcW w:type="dxa" w:w="1500"/>
            <w:tcMar>
              <w:top w:type="dxa" w:w="60"/>
              <w:left w:type="dxa" w:w="80"/>
              <w:bottom w:type="dxa" w:w="60"/>
              <w:right w:type="dxa" w:w="80"/>
            </w:tcMar>
          </w:tcPr>
          <w:p>
            <w:pPr>
              <w:jc w:val="center"/>
            </w:pPr>
            <w:r>
              <w:rPr>
                <w:b w:val="false"/>
                <w:bCs w:val="false"/>
                <w:sz w:val="19"/>
                <w:szCs w:val="19"/>
              </w:rPr>
              <w:t xml:space="preserve">33.2%</w:t>
            </w:r>
          </w:p>
        </w:tc>
      </w:tr>
      <w:tr>
        <w:trPr>
          <w:cantSplit/>
        </w:trPr>
        <w:tc>
          <w:tcPr>
            <w:tcW w:type="dxa" w:w="1900"/>
            <w:tcMar>
              <w:top w:type="dxa" w:w="60"/>
              <w:left w:type="dxa" w:w="80"/>
              <w:bottom w:type="dxa" w:w="60"/>
              <w:right w:type="dxa" w:w="80"/>
            </w:tcMar>
          </w:tcPr>
          <w:p>
            <w:pPr>
              <w:jc w:val="left"/>
            </w:pPr>
            <w:r>
              <w:rPr>
                <w:b w:val="false"/>
                <w:bCs w:val="false"/>
                <w:sz w:val="19"/>
                <w:szCs w:val="19"/>
              </w:rPr>
              <w:t xml:space="preserve">Meningioma</w:t>
            </w:r>
          </w:p>
        </w:tc>
        <w:tc>
          <w:tcPr>
            <w:tcW w:type="dxa" w:w="1900"/>
            <w:tcMar>
              <w:top w:type="dxa" w:w="60"/>
              <w:left w:type="dxa" w:w="80"/>
              <w:bottom w:type="dxa" w:w="60"/>
              <w:right w:type="dxa" w:w="80"/>
            </w:tcMar>
          </w:tcPr>
          <w:p>
            <w:pPr>
              <w:jc w:val="center"/>
            </w:pPr>
            <w:r>
              <w:rPr>
                <w:b w:val="false"/>
                <w:bCs w:val="false"/>
                <w:sz w:val="19"/>
                <w:szCs w:val="19"/>
              </w:rPr>
              <w:t xml:space="preserve">494</w:t>
            </w:r>
          </w:p>
        </w:tc>
        <w:tc>
          <w:tcPr>
            <w:tcW w:type="dxa" w:w="1900"/>
            <w:tcMar>
              <w:top w:type="dxa" w:w="60"/>
              <w:left w:type="dxa" w:w="80"/>
              <w:bottom w:type="dxa" w:w="60"/>
              <w:right w:type="dxa" w:w="80"/>
            </w:tcMar>
          </w:tcPr>
          <w:p>
            <w:pPr>
              <w:jc w:val="center"/>
            </w:pPr>
            <w:r>
              <w:rPr>
                <w:b w:val="false"/>
                <w:bCs w:val="false"/>
                <w:sz w:val="19"/>
                <w:szCs w:val="19"/>
              </w:rPr>
              <w:t xml:space="preserve">185</w:t>
            </w:r>
          </w:p>
        </w:tc>
        <w:tc>
          <w:tcPr>
            <w:tcW w:type="dxa" w:w="1700"/>
            <w:tcMar>
              <w:top w:type="dxa" w:w="60"/>
              <w:left w:type="dxa" w:w="80"/>
              <w:bottom w:type="dxa" w:w="60"/>
              <w:right w:type="dxa" w:w="80"/>
            </w:tcMar>
          </w:tcPr>
          <w:p>
            <w:pPr>
              <w:jc w:val="center"/>
            </w:pPr>
            <w:r>
              <w:rPr>
                <w:b w:val="false"/>
                <w:bCs w:val="false"/>
                <w:sz w:val="19"/>
                <w:szCs w:val="19"/>
              </w:rPr>
              <w:t xml:space="preserve">309</w:t>
            </w:r>
          </w:p>
        </w:tc>
        <w:tc>
          <w:tcPr>
            <w:tcW w:type="dxa" w:w="1500"/>
            <w:tcMar>
              <w:top w:type="dxa" w:w="60"/>
              <w:left w:type="dxa" w:w="80"/>
              <w:bottom w:type="dxa" w:w="60"/>
              <w:right w:type="dxa" w:w="80"/>
            </w:tcMar>
          </w:tcPr>
          <w:p>
            <w:pPr>
              <w:jc w:val="center"/>
            </w:pPr>
            <w:r>
              <w:rPr>
                <w:b w:val="false"/>
                <w:bCs w:val="false"/>
                <w:sz w:val="19"/>
                <w:szCs w:val="19"/>
              </w:rPr>
              <w:t xml:space="preserve">62.6%</w:t>
            </w:r>
          </w:p>
        </w:tc>
      </w:tr>
      <w:tr>
        <w:trPr>
          <w:cantSplit/>
        </w:trPr>
        <w:tc>
          <w:tcPr>
            <w:tcW w:type="dxa" w:w="1900"/>
            <w:tcMar>
              <w:top w:type="dxa" w:w="60"/>
              <w:left w:type="dxa" w:w="80"/>
              <w:bottom w:type="dxa" w:w="60"/>
              <w:right w:type="dxa" w:w="80"/>
            </w:tcMar>
          </w:tcPr>
          <w:p>
            <w:pPr>
              <w:jc w:val="left"/>
            </w:pPr>
            <w:r>
              <w:rPr>
                <w:b w:val="false"/>
                <w:bCs w:val="false"/>
                <w:sz w:val="19"/>
                <w:szCs w:val="19"/>
              </w:rPr>
              <w:t xml:space="preserve">No tumor</w:t>
            </w:r>
          </w:p>
        </w:tc>
        <w:tc>
          <w:tcPr>
            <w:tcW w:type="dxa" w:w="1900"/>
            <w:tcMar>
              <w:top w:type="dxa" w:w="60"/>
              <w:left w:type="dxa" w:w="80"/>
              <w:bottom w:type="dxa" w:w="60"/>
              <w:right w:type="dxa" w:w="80"/>
            </w:tcMar>
          </w:tcPr>
          <w:p>
            <w:pPr>
              <w:jc w:val="center"/>
            </w:pPr>
            <w:r>
              <w:rPr>
                <w:b w:val="false"/>
                <w:bCs w:val="false"/>
                <w:sz w:val="19"/>
                <w:szCs w:val="19"/>
              </w:rPr>
              <w:t xml:space="preserve">375</w:t>
            </w:r>
          </w:p>
        </w:tc>
        <w:tc>
          <w:tcPr>
            <w:tcW w:type="dxa" w:w="1900"/>
            <w:tcMar>
              <w:top w:type="dxa" w:w="60"/>
              <w:left w:type="dxa" w:w="80"/>
              <w:bottom w:type="dxa" w:w="60"/>
              <w:right w:type="dxa" w:w="80"/>
            </w:tcMar>
          </w:tcPr>
          <w:p>
            <w:pPr>
              <w:jc w:val="center"/>
            </w:pPr>
            <w:r>
              <w:rPr>
                <w:b w:val="false"/>
                <w:bCs w:val="false"/>
                <w:sz w:val="19"/>
                <w:szCs w:val="19"/>
              </w:rPr>
              <w:t xml:space="preserve">19</w:t>
            </w:r>
          </w:p>
        </w:tc>
        <w:tc>
          <w:tcPr>
            <w:tcW w:type="dxa" w:w="1700"/>
            <w:tcMar>
              <w:top w:type="dxa" w:w="60"/>
              <w:left w:type="dxa" w:w="80"/>
              <w:bottom w:type="dxa" w:w="60"/>
              <w:right w:type="dxa" w:w="80"/>
            </w:tcMar>
          </w:tcPr>
          <w:p>
            <w:pPr>
              <w:jc w:val="center"/>
            </w:pPr>
            <w:r>
              <w:rPr>
                <w:b w:val="false"/>
                <w:bCs w:val="false"/>
                <w:sz w:val="19"/>
                <w:szCs w:val="19"/>
              </w:rPr>
              <w:t xml:space="preserve">356</w:t>
            </w:r>
          </w:p>
        </w:tc>
        <w:tc>
          <w:tcPr>
            <w:tcW w:type="dxa" w:w="1500"/>
            <w:tcMar>
              <w:top w:type="dxa" w:w="60"/>
              <w:left w:type="dxa" w:w="80"/>
              <w:bottom w:type="dxa" w:w="60"/>
              <w:right w:type="dxa" w:w="80"/>
            </w:tcMar>
          </w:tcPr>
          <w:p>
            <w:pPr>
              <w:jc w:val="center"/>
            </w:pPr>
            <w:r>
              <w:rPr>
                <w:b w:val="false"/>
                <w:bCs w:val="false"/>
                <w:sz w:val="19"/>
                <w:szCs w:val="19"/>
              </w:rPr>
              <w:t xml:space="preserve">94.9%</w:t>
            </w:r>
          </w:p>
        </w:tc>
      </w:tr>
      <w:tr>
        <w:trPr>
          <w:cantSplit/>
        </w:trPr>
        <w:tc>
          <w:tcPr>
            <w:tcW w:type="dxa" w:w="1900"/>
            <w:tcMar>
              <w:top w:type="dxa" w:w="60"/>
              <w:left w:type="dxa" w:w="80"/>
              <w:bottom w:type="dxa" w:w="60"/>
              <w:right w:type="dxa" w:w="80"/>
            </w:tcMar>
          </w:tcPr>
          <w:p>
            <w:pPr>
              <w:jc w:val="left"/>
            </w:pPr>
            <w:r>
              <w:rPr>
                <w:b w:val="false"/>
                <w:bCs w:val="false"/>
                <w:sz w:val="19"/>
                <w:szCs w:val="19"/>
              </w:rPr>
              <w:t xml:space="preserve">Pituitary</w:t>
            </w:r>
          </w:p>
        </w:tc>
        <w:tc>
          <w:tcPr>
            <w:tcW w:type="dxa" w:w="1900"/>
            <w:tcMar>
              <w:top w:type="dxa" w:w="60"/>
              <w:left w:type="dxa" w:w="80"/>
              <w:bottom w:type="dxa" w:w="60"/>
              <w:right w:type="dxa" w:w="80"/>
            </w:tcMar>
          </w:tcPr>
          <w:p>
            <w:pPr>
              <w:jc w:val="center"/>
            </w:pPr>
            <w:r>
              <w:rPr>
                <w:b w:val="false"/>
                <w:bCs w:val="false"/>
                <w:sz w:val="19"/>
                <w:szCs w:val="19"/>
              </w:rPr>
              <w:t xml:space="preserve">538</w:t>
            </w:r>
          </w:p>
        </w:tc>
        <w:tc>
          <w:tcPr>
            <w:tcW w:type="dxa" w:w="1900"/>
            <w:tcMar>
              <w:top w:type="dxa" w:w="60"/>
              <w:left w:type="dxa" w:w="80"/>
              <w:bottom w:type="dxa" w:w="60"/>
              <w:right w:type="dxa" w:w="80"/>
            </w:tcMar>
          </w:tcPr>
          <w:p>
            <w:pPr>
              <w:jc w:val="center"/>
            </w:pPr>
            <w:r>
              <w:rPr>
                <w:b w:val="false"/>
                <w:bCs w:val="false"/>
                <w:sz w:val="19"/>
                <w:szCs w:val="19"/>
              </w:rPr>
              <w:t xml:space="preserve">217</w:t>
            </w:r>
          </w:p>
        </w:tc>
        <w:tc>
          <w:tcPr>
            <w:tcW w:type="dxa" w:w="1700"/>
            <w:tcMar>
              <w:top w:type="dxa" w:w="60"/>
              <w:left w:type="dxa" w:w="80"/>
              <w:bottom w:type="dxa" w:w="60"/>
              <w:right w:type="dxa" w:w="80"/>
            </w:tcMar>
          </w:tcPr>
          <w:p>
            <w:pPr>
              <w:jc w:val="center"/>
            </w:pPr>
            <w:r>
              <w:rPr>
                <w:b w:val="false"/>
                <w:bCs w:val="false"/>
                <w:sz w:val="19"/>
                <w:szCs w:val="19"/>
              </w:rPr>
              <w:t xml:space="preserve">321</w:t>
            </w:r>
          </w:p>
        </w:tc>
        <w:tc>
          <w:tcPr>
            <w:tcW w:type="dxa" w:w="1500"/>
            <w:tcMar>
              <w:top w:type="dxa" w:w="60"/>
              <w:left w:type="dxa" w:w="80"/>
              <w:bottom w:type="dxa" w:w="60"/>
              <w:right w:type="dxa" w:w="80"/>
            </w:tcMar>
          </w:tcPr>
          <w:p>
            <w:pPr>
              <w:jc w:val="center"/>
            </w:pPr>
            <w:r>
              <w:rPr>
                <w:b w:val="false"/>
                <w:bCs w:val="false"/>
                <w:sz w:val="19"/>
                <w:szCs w:val="19"/>
              </w:rPr>
              <w:t xml:space="preserve">59.7%</w:t>
            </w:r>
          </w:p>
        </w:tc>
      </w:tr>
      <w:tr>
        <w:trPr>
          <w:cantSplit/>
        </w:trPr>
        <w:tc>
          <w:tcPr>
            <w:tcW w:type="dxa" w:w="1900"/>
            <w:tcMar>
              <w:top w:type="dxa" w:w="60"/>
              <w:left w:type="dxa" w:w="80"/>
              <w:bottom w:type="dxa" w:w="60"/>
              <w:right w:type="dxa" w:w="80"/>
            </w:tcMar>
          </w:tcPr>
          <w:p>
            <w:pPr>
              <w:jc w:val="left"/>
            </w:pPr>
            <w:r>
              <w:rPr>
                <w:b w:val="false"/>
                <w:bCs w:val="false"/>
                <w:sz w:val="19"/>
                <w:szCs w:val="19"/>
              </w:rPr>
              <w:t xml:space="preserve">Total</w:t>
            </w:r>
          </w:p>
        </w:tc>
        <w:tc>
          <w:tcPr>
            <w:tcW w:type="dxa" w:w="1900"/>
            <w:tcMar>
              <w:top w:type="dxa" w:w="60"/>
              <w:left w:type="dxa" w:w="80"/>
              <w:bottom w:type="dxa" w:w="60"/>
              <w:right w:type="dxa" w:w="80"/>
            </w:tcMar>
          </w:tcPr>
          <w:p>
            <w:pPr>
              <w:jc w:val="center"/>
            </w:pPr>
            <w:r>
              <w:rPr>
                <w:b w:val="false"/>
                <w:bCs w:val="false"/>
                <w:sz w:val="19"/>
                <w:szCs w:val="19"/>
              </w:rPr>
              <w:t xml:space="preserve">2,003</w:t>
            </w:r>
          </w:p>
        </w:tc>
        <w:tc>
          <w:tcPr>
            <w:tcW w:type="dxa" w:w="1900"/>
            <w:tcMar>
              <w:top w:type="dxa" w:w="60"/>
              <w:left w:type="dxa" w:w="80"/>
              <w:bottom w:type="dxa" w:w="60"/>
              <w:right w:type="dxa" w:w="80"/>
            </w:tcMar>
          </w:tcPr>
          <w:p>
            <w:pPr>
              <w:jc w:val="center"/>
            </w:pPr>
            <w:r>
              <w:rPr>
                <w:b w:val="false"/>
                <w:bCs w:val="false"/>
                <w:sz w:val="19"/>
                <w:szCs w:val="19"/>
              </w:rPr>
              <w:t xml:space="preserve">819</w:t>
            </w:r>
          </w:p>
        </w:tc>
        <w:tc>
          <w:tcPr>
            <w:tcW w:type="dxa" w:w="1700"/>
            <w:tcMar>
              <w:top w:type="dxa" w:w="60"/>
              <w:left w:type="dxa" w:w="80"/>
              <w:bottom w:type="dxa" w:w="60"/>
              <w:right w:type="dxa" w:w="80"/>
            </w:tcMar>
          </w:tcPr>
          <w:p>
            <w:pPr>
              <w:jc w:val="center"/>
            </w:pPr>
            <w:r>
              <w:rPr>
                <w:b w:val="false"/>
                <w:bCs w:val="false"/>
                <w:sz w:val="19"/>
                <w:szCs w:val="19"/>
              </w:rPr>
              <w:t xml:space="preserve">1,184</w:t>
            </w:r>
          </w:p>
        </w:tc>
        <w:tc>
          <w:tcPr>
            <w:tcW w:type="dxa" w:w="1500"/>
            <w:tcMar>
              <w:top w:type="dxa" w:w="60"/>
              <w:left w:type="dxa" w:w="80"/>
              <w:bottom w:type="dxa" w:w="60"/>
              <w:right w:type="dxa" w:w="80"/>
            </w:tcMar>
          </w:tcPr>
          <w:p>
            <w:pPr>
              <w:jc w:val="center"/>
            </w:pPr>
            <w:r>
              <w:rPr>
                <w:b w:val="false"/>
                <w:bCs w:val="false"/>
                <w:sz w:val="19"/>
                <w:szCs w:val="19"/>
              </w:rPr>
              <w:t xml:space="preserve">59.1%</w:t>
            </w:r>
          </w:p>
        </w:tc>
      </w:tr>
    </w:tbl>
    <w:p>
      <w:pPr>
        <w:spacing w:after="160"/>
        <w:jc w:val="both"/>
      </w:pPr>
      <w:r>
        <w:rPr>
          <w:sz w:val="22"/>
          <w:szCs w:val="22"/>
        </w:rPr>
        <w:t xml:space="preserve">We discuss in Section 5 why we believe the no-tumor class was disproportionately affected, and in Section 6 the limits this places on interpreting per-class metrics for that class in every result that follows. We do not have a confirmed explanation for why this audit found a materially higher leakage rate than the companion study's audit of a nominally similar split of the same archive; the corpus is user-uploaded and may have been revised between the two experiments, or the two random 70/15/15 splits (both seeded at 42 but constructed at different times against a live Kaggle dataset mount) may draw from different underlying file listings. We report the method and the outcome exactly as observed rather than reconciling the discrepancy with an unverified explanation.</w:t>
      </w:r>
    </w:p>
    <w:p>
      <w:pPr>
        <w:pStyle w:val="Heading2"/>
        <w:spacing w:after="120" w:before="240"/>
      </w:pPr>
      <w:r>
        <w:t xml:space="preserve">3.3 Preprocessing</w:t>
      </w:r>
    </w:p>
    <w:p>
      <w:pPr>
        <w:spacing w:after="160"/>
        <w:jc w:val="both"/>
      </w:pPr>
      <w:r>
        <w:rPr>
          <w:sz w:val="22"/>
          <w:szCs w:val="22"/>
        </w:rPr>
        <w:t xml:space="preserve">Every model in this study — both pretrained teachers and both from-scratch students — used identical contour-based cropping (grayscale conversion, Gaussian blur, thresholding, largest-contour bounding-box crop, with a safe fallback to the uncropped image on any failure) before resizing to 224×224 and ImageNet channel normalization. Applying this uniformly keeps the head-to-head comparison fair. Training augmentation comprised random horizontal flipping, ±10° rotation, and brightness/contrast jitter.</w:t>
      </w:r>
    </w:p>
    <w:p>
      <w:pPr>
        <w:pStyle w:val="Heading2"/>
        <w:spacing w:after="120" w:before="240"/>
      </w:pPr>
      <w:r>
        <w:t xml:space="preserve">3.4 Proposed architecture: KD-GAMS-Net</w:t>
      </w:r>
    </w:p>
    <w:p>
      <w:pPr>
        <w:spacing w:after="160"/>
        <w:jc w:val="both"/>
      </w:pPr>
      <w:r>
        <w:rPr>
          <w:sz w:val="22"/>
          <w:szCs w:val="22"/>
        </w:rPr>
        <w:t xml:space="preserve">KD-GAMS-Net retains GAMS-Net's Ghost modules [4] throughout. Two architectural changes distinguish it from the original GAMS-Net design, each motivated by the companion study's ablation or error analysis: (i) the Multi-Scale Dilated Fusion (MSDF) block — three parallel dilated convolutions (rates 1, 2, 3) fused by a 1×1 convolution — is inserted twice (after stage 1 and after stage 2) instead of once, since MSDF was the single largest accuracy contributor in the prior ablation; (ii) ECA is replaced throughout with CBAM-style spatial attention [2,3], motivated by the prior study's confusion matrices showing errors concentrated at specific class boundaries rather than uniformly, a pattern channel attention is not designed to address. The resulting network has 3,164,000 (3.164M) trainable parameters, measured directly from the implementation.</w:t>
      </w:r>
    </w:p>
    <w:p>
      <w:pPr>
        <w:pStyle w:val="Heading2"/>
        <w:spacing w:after="120" w:before="240"/>
      </w:pPr>
      <w:r>
        <w:t xml:space="preserve">3.5 Baseline architectures</w:t>
      </w:r>
    </w:p>
    <w:p>
      <w:pPr>
        <w:spacing w:after="160"/>
        <w:jc w:val="both"/>
      </w:pPr>
      <w:r>
        <w:rPr>
          <w:sz w:val="22"/>
          <w:szCs w:val="22"/>
        </w:rPr>
        <w:t xml:space="preserve">A faithful from-scratch reproduction of the original GAMS-Net (Ghost modules, ECA, single MSDF; 2,956,000 parameters) serves as the primary baseline, trained under the identical protocol described below with plain cross-entropy loss and no distillation, so that any difference against KD-GAMS-Net is attributable to the proposed changes rather than a confound. MobileNetV2 and EfficientNet-B0, both ImageNet-pretrained and fully fine-tuned, serve simultaneously as independent benchmark baselines and as the frozen teacher ensemble for KD-GAMS-Net's distillation loss (Section 3.6); each teacher is trained once, at seed 42, and reused unchanged across every student seed in Section 3.9, since the object of study is the student's sensitivity to training recipe and initialization, not the teachers'.</w:t>
      </w:r>
    </w:p>
    <w:p>
      <w:pPr>
        <w:pStyle w:val="Heading2"/>
        <w:spacing w:after="120" w:before="240"/>
      </w:pPr>
      <w:r>
        <w:t xml:space="preserve">3.6 Knowledge distillation and focal loss</w:t>
      </w:r>
    </w:p>
    <w:p>
      <w:pPr>
        <w:spacing w:after="160"/>
        <w:jc w:val="both"/>
      </w:pPr>
      <w:r>
        <w:rPr>
          <w:sz w:val="22"/>
          <w:szCs w:val="22"/>
        </w:rPr>
        <w:t xml:space="preserve">KD-GAMS-Net is trained with a combined objective: α·L_focal(student, labels) + (1−α)·T²·KL(student_soft ‖ teacher_soft), where teacher_soft is the softmax, temperature-scaled average of the two frozen teachers' logits, α = 0.4, and T = 4.0. The hard-label term uses focal loss [27] (γ = 2.0) with class weights set to the inverse frequency of each class in the training set (normalized to a mean of 1), upweighting the smaller no-tumor class specifically, motivated by the companion study's confusion matrices showing no-tumor→meningioma as a leading error mode.</w:t>
      </w:r>
    </w:p>
    <w:p>
      <w:pPr>
        <w:pStyle w:val="Heading2"/>
        <w:spacing w:after="120" w:before="240"/>
      </w:pPr>
      <w:r>
        <w:t xml:space="preserve">3.7 Training protocol</w:t>
      </w:r>
    </w:p>
    <w:p>
      <w:pPr>
        <w:spacing w:after="160"/>
        <w:jc w:val="both"/>
      </w:pPr>
      <w:r>
        <w:rPr>
          <w:sz w:val="22"/>
          <w:szCs w:val="22"/>
        </w:rPr>
        <w:t xml:space="preserve">All models were trained with AdamW (weight decay 1×10⁻⁴), batch size 32, input resolution 224×224, for a maximum of 40 epochs with early stopping (patience 8 epochs on validation loss) and ReduceLROnPlateau (factor 0.5, patience 3 epochs), using automatic mixed precision. Learning rate was 1×10⁻³ for the two from-scratch models (KD-GAMS-Net, GAMS-Net baseline) and 1×10⁻⁴ for the two pretrained teachers.</w:t>
      </w:r>
    </w:p>
    <w:p>
      <w:pPr>
        <w:pStyle w:val="Heading2"/>
        <w:spacing w:after="120" w:before="240"/>
      </w:pPr>
      <w:r>
        <w:t xml:space="preserve">3.8 Evaluation metrics</w:t>
      </w:r>
    </w:p>
    <w:p>
      <w:pPr>
        <w:spacing w:after="160"/>
        <w:jc w:val="both"/>
      </w:pPr>
      <w:r>
        <w:rPr>
          <w:sz w:val="22"/>
          <w:szCs w:val="22"/>
        </w:rPr>
        <w:t xml:space="preserve">We report accuracy, macro-averaged precision/recall/F1, macro one-vs-rest AUC, the full four-class confusion matrix, parameter count, multiply-accumulate operations (FLOPs at 224×224 resolution), and GPU/CPU inference latency (milliseconds per image, single-image batches, 50-iteration average after a 10-iteration warm-up).</w:t>
      </w:r>
    </w:p>
    <w:p>
      <w:pPr>
        <w:pStyle w:val="Heading2"/>
        <w:spacing w:after="120" w:before="240"/>
      </w:pPr>
      <w:r>
        <w:t xml:space="preserve">3.9 Multi-seed robustness and statistical testing</w:t>
      </w:r>
    </w:p>
    <w:p>
      <w:pPr>
        <w:spacing w:after="160"/>
        <w:jc w:val="both"/>
      </w:pPr>
      <w:r>
        <w:rPr>
          <w:sz w:val="22"/>
          <w:szCs w:val="22"/>
        </w:rPr>
        <w:t xml:space="preserve">The four headline models (KD-GAMS-Net, GAMS-Net baseline, MobileNetV2, EfficientNet-B0) were each retrained across three seeds (42, 123, 2024); we report the mean ± standard deviation of test accuracy and F1 across these runs as the primary headline comparison (Section 4.3), following the same low-single-run-reliability caution used in the companion study, rather than any single run in isolation.</w:t>
      </w:r>
    </w:p>
    <w:p>
      <w:pPr>
        <w:spacing w:after="160"/>
        <w:jc w:val="both"/>
      </w:pPr>
      <w:r>
        <w:rPr>
          <w:sz w:val="22"/>
          <w:szCs w:val="22"/>
        </w:rPr>
        <w:t xml:space="preserve">Unlike the companion study, every model evaluation in this pipeline immediately caches true/predicted/probability arrays to disk, which enables a genuine, paired, per-sample McNemar's test at seed 42 (Section 4.4) — a direct methodological improvement over the companion study's seed-level Welch's-t workaround, which that study used only because per-sample predictions had not been retained. We additionally report a seed-level Welch's t-test (n = 3 per group) for the multi-seed comparison, for the same purpose and with the same explicit low-power caveat as in the companion study: p-values from three seeds per group should be read as indicative screening evidence, not confirmatory statistics.</w:t>
      </w:r>
    </w:p>
    <w:p>
      <w:pPr>
        <w:pStyle w:val="Heading2"/>
        <w:spacing w:after="120" w:before="240"/>
      </w:pPr>
      <w:r>
        <w:t xml:space="preserve">3.10 Ablation study</w:t>
      </w:r>
    </w:p>
    <w:p>
      <w:pPr>
        <w:spacing w:after="160"/>
        <w:jc w:val="both"/>
      </w:pPr>
      <w:r>
        <w:rPr>
          <w:sz w:val="22"/>
          <w:szCs w:val="22"/>
        </w:rPr>
        <w:t xml:space="preserve">Three single-seed (42) variants each change exactly one element of the full KD-GAMS-Net recipe: </w:t>
      </w:r>
      <w:r>
        <w:rPr>
          <w:b/>
          <w:bCs/>
          <w:sz w:val="22"/>
          <w:szCs w:val="22"/>
        </w:rPr>
        <w:t xml:space="preserve">w/o KD</w:t>
      </w:r>
      <w:r>
        <w:rPr>
          <w:sz w:val="22"/>
          <w:szCs w:val="22"/>
        </w:rPr>
        <w:t xml:space="preserve"> (identical architecture, focal loss only, no distillation) isolates distillation's contribution; </w:t>
      </w:r>
      <w:r>
        <w:rPr>
          <w:b/>
          <w:bCs/>
          <w:sz w:val="22"/>
          <w:szCs w:val="22"/>
        </w:rPr>
        <w:t xml:space="preserve">w/o double-MSDF</w:t>
      </w:r>
      <w:r>
        <w:rPr>
          <w:sz w:val="22"/>
          <w:szCs w:val="22"/>
        </w:rPr>
        <w:t xml:space="preserve"> (KD + focal + spatial attention, but MSDF only in its original single position) isolates the doubling; </w:t>
      </w:r>
      <w:r>
        <w:rPr>
          <w:b/>
          <w:bCs/>
          <w:sz w:val="22"/>
          <w:szCs w:val="22"/>
        </w:rPr>
        <w:t xml:space="preserve">w/o spatial attention</w:t>
      </w:r>
      <w:r>
        <w:rPr>
          <w:sz w:val="22"/>
          <w:szCs w:val="22"/>
        </w:rPr>
        <w:t xml:space="preserve"> (KD + focal + double MSDF, but ECA instead of spatial attention) isolates the attention swap. As in the companion study, this ablation is single-seed to control computational cost, a limitation restated in Section 6.</w:t>
      </w:r>
    </w:p>
    <w:p>
      <w:pPr>
        <w:pStyle w:val="Heading2"/>
        <w:spacing w:after="120" w:before="240"/>
      </w:pPr>
      <w:r>
        <w:t xml:space="preserve">3.11 Explainability</w:t>
      </w:r>
    </w:p>
    <w:p>
      <w:pPr>
        <w:spacing w:after="160"/>
        <w:jc w:val="both"/>
      </w:pPr>
      <w:r>
        <w:rPr>
          <w:sz w:val="22"/>
          <w:szCs w:val="22"/>
        </w:rPr>
        <w:t xml:space="preserve">Grad-CAM [5] was computed against KD-GAMS-Net's final convolutional stage for both correctly and incorrectly classified test examples, implemented with an explicit target-class argument as required by current grad-cam package versions.</w:t>
      </w:r>
    </w:p>
    <w:p>
      <w:pPr>
        <w:pStyle w:val="Heading2"/>
        <w:spacing w:after="120" w:before="240"/>
      </w:pPr>
      <w:r>
        <w:t xml:space="preserve">3.12 A parameter-counting artifact, corrected</w:t>
      </w:r>
    </w:p>
    <w:p>
      <w:pPr>
        <w:spacing w:after="160"/>
        <w:jc w:val="both"/>
      </w:pPr>
      <w:r>
        <w:rPr>
          <w:sz w:val="22"/>
          <w:szCs w:val="22"/>
        </w:rPr>
        <w:t xml:space="preserve">While assembling the efficiency comparison (Section 4.2), the pipeline's automated parameter count returned 0 for both pretrained teachers. The cause was identified: freezing the teachers for use as KD sources (`requires_grad_(False)` on every teacher parameter, applied once before training KD-GAMS-Net) caused the parameter-counting function — which sums only parameters with `requires_grad = True`, by design, to exclude frozen backbone weights in other contexts — to return zero for these specific models at the point the efficiency table was generated later in the same run. This is an implementation artifact, not a property of the models: MobileNetV2 and EfficientNet-B0's parameter counts are fixed by their published architectures (2.229M and 4.013M respectively) and are architecture-invariant regardless of which parameters are frozen for training. Table 3 reports the corrected values, cross-validated against the companion study's independently measured figures for the same two architectures with the same classifier head configuration, and against this run's own FLOPs measurements (unaffected by the `requires_grad` state and consistent with the companion study's values). We report this artifact explicitly, per the reproducibility standard used throughout this line of work, rather than silently correcting it without disclosure.</w:t>
      </w:r>
    </w:p>
    <w:p>
      <w:pPr>
        <w:pStyle w:val="Heading1"/>
        <w:spacing w:after="160" w:before="320"/>
      </w:pPr>
      <w:r>
        <w:t xml:space="preserve">4. Results</w:t>
      </w:r>
    </w:p>
    <w:p>
      <w:pPr>
        <w:pStyle w:val="Heading2"/>
        <w:spacing w:after="120" w:before="240"/>
      </w:pPr>
      <w:r>
        <w:t xml:space="preserve">4.1 Leakage audit outcome</w:t>
      </w:r>
    </w:p>
    <w:p>
      <w:pPr>
        <w:spacing w:after="160"/>
        <w:jc w:val="both"/>
      </w:pPr>
      <w:r>
        <w:rPr>
          <w:sz w:val="22"/>
          <w:szCs w:val="22"/>
        </w:rPr>
        <w:t xml:space="preserve">As detailed in Section 3.2 and Table 1, the audit flagged 59.1% of the constructed test split as near-duplicate, disproportionately affecting the no-tumor class (94.9% removed, leaving 19 images). Every result in this section is computed on the resulting 819-image leak-audited test set.</w:t>
      </w:r>
    </w:p>
    <w:p>
      <w:pPr>
        <w:pStyle w:val="Heading2"/>
        <w:spacing w:after="120" w:before="240"/>
      </w:pPr>
      <w:r>
        <w:t xml:space="preserve">4.2 Single-run benchmark comparison (seed 42)</w:t>
      </w:r>
    </w:p>
    <w:p>
      <w:pPr>
        <w:spacing w:after="160"/>
        <w:jc w:val="both"/>
      </w:pPr>
      <w:r>
        <w:rPr>
          <w:sz w:val="22"/>
          <w:szCs w:val="22"/>
        </w:rPr>
        <w:t xml:space="preserve">Table 2 reports the seed-42 comparison. KD-GAMS-Net (97.31% accuracy) narrowly led the from-scratch GAMS-Net baseline (96.95%) and EfficientNet-B0 (97.19%), and trailed MobileNetV2 (97.56%) by 0.25 points — a materially smaller spread across all four models than the 5–6-point gap reported in the companion study's single-run comparison, though on a much smaller (819- vs. 2,002-image), leak-audited, and differently-shaped test set, a difference we return to in Section 5.</w:t>
      </w:r>
    </w:p>
    <w:p>
      <w:pPr>
        <w:spacing w:after="240"/>
        <w:jc w:val="center"/>
      </w:pPr>
      <w:r>
        <w:rPr>
          <w:i/>
          <w:iCs/>
          <w:sz w:val="20"/>
          <w:szCs w:val="20"/>
        </w:rPr>
        <w:t xml:space="preserve">Table 2. Single-run benchmark comparison (seed 42, leak-audited 819-image test set).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dxa" w:w="1958"/>
            <w:shd w:fill="D9E2F3" w:val="clear"/>
            <w:tcMar>
              <w:top w:type="dxa" w:w="60"/>
              <w:left w:type="dxa" w:w="80"/>
              <w:bottom w:type="dxa" w:w="60"/>
              <w:right w:type="dxa" w:w="80"/>
            </w:tcMar>
          </w:tcPr>
          <w:p>
            <w:pPr>
              <w:jc w:val="center"/>
            </w:pPr>
            <w:r>
              <w:rPr>
                <w:b/>
                <w:bCs/>
                <w:sz w:val="19"/>
                <w:szCs w:val="19"/>
              </w:rPr>
              <w:t xml:space="preserve">Model</w:t>
            </w:r>
          </w:p>
        </w:tc>
        <w:tc>
          <w:tcPr>
            <w:tcW w:type="dxa" w:w="1272"/>
            <w:shd w:fill="D9E2F3" w:val="clear"/>
            <w:tcMar>
              <w:top w:type="dxa" w:w="60"/>
              <w:left w:type="dxa" w:w="80"/>
              <w:bottom w:type="dxa" w:w="60"/>
              <w:right w:type="dxa" w:w="80"/>
            </w:tcMar>
          </w:tcPr>
          <w:p>
            <w:pPr>
              <w:jc w:val="center"/>
            </w:pPr>
            <w:r>
              <w:rPr>
                <w:b/>
                <w:bCs/>
                <w:sz w:val="19"/>
                <w:szCs w:val="19"/>
              </w:rPr>
              <w:t xml:space="preserve">Params (M)</w:t>
            </w:r>
          </w:p>
        </w:tc>
        <w:tc>
          <w:tcPr>
            <w:tcW w:type="dxa" w:w="1272"/>
            <w:shd w:fill="D9E2F3" w:val="clear"/>
            <w:tcMar>
              <w:top w:type="dxa" w:w="60"/>
              <w:left w:type="dxa" w:w="80"/>
              <w:bottom w:type="dxa" w:w="60"/>
              <w:right w:type="dxa" w:w="80"/>
            </w:tcMar>
          </w:tcPr>
          <w:p>
            <w:pPr>
              <w:jc w:val="center"/>
            </w:pPr>
            <w:r>
              <w:rPr>
                <w:b/>
                <w:bCs/>
                <w:sz w:val="19"/>
                <w:szCs w:val="19"/>
              </w:rPr>
              <w:t xml:space="preserve">Accuracy</w:t>
            </w:r>
          </w:p>
        </w:tc>
        <w:tc>
          <w:tcPr>
            <w:tcW w:type="dxa" w:w="1272"/>
            <w:shd w:fill="D9E2F3" w:val="clear"/>
            <w:tcMar>
              <w:top w:type="dxa" w:w="60"/>
              <w:left w:type="dxa" w:w="80"/>
              <w:bottom w:type="dxa" w:w="60"/>
              <w:right w:type="dxa" w:w="80"/>
            </w:tcMar>
          </w:tcPr>
          <w:p>
            <w:pPr>
              <w:jc w:val="center"/>
            </w:pPr>
            <w:r>
              <w:rPr>
                <w:b/>
                <w:bCs/>
                <w:sz w:val="19"/>
                <w:szCs w:val="19"/>
              </w:rPr>
              <w:t xml:space="preserve">Precision</w:t>
            </w:r>
          </w:p>
        </w:tc>
        <w:tc>
          <w:tcPr>
            <w:tcW w:type="dxa" w:w="1174"/>
            <w:shd w:fill="D9E2F3" w:val="clear"/>
            <w:tcMar>
              <w:top w:type="dxa" w:w="60"/>
              <w:left w:type="dxa" w:w="80"/>
              <w:bottom w:type="dxa" w:w="60"/>
              <w:right w:type="dxa" w:w="80"/>
            </w:tcMar>
          </w:tcPr>
          <w:p>
            <w:pPr>
              <w:jc w:val="center"/>
            </w:pPr>
            <w:r>
              <w:rPr>
                <w:b/>
                <w:bCs/>
                <w:sz w:val="19"/>
                <w:szCs w:val="19"/>
              </w:rPr>
              <w:t xml:space="preserve">Recall</w:t>
            </w:r>
          </w:p>
        </w:tc>
        <w:tc>
          <w:tcPr>
            <w:tcW w:type="dxa" w:w="1272"/>
            <w:shd w:fill="D9E2F3" w:val="clear"/>
            <w:tcMar>
              <w:top w:type="dxa" w:w="60"/>
              <w:left w:type="dxa" w:w="80"/>
              <w:bottom w:type="dxa" w:w="60"/>
              <w:right w:type="dxa" w:w="80"/>
            </w:tcMar>
          </w:tcPr>
          <w:p>
            <w:pPr>
              <w:jc w:val="center"/>
            </w:pPr>
            <w:r>
              <w:rPr>
                <w:b/>
                <w:bCs/>
                <w:sz w:val="19"/>
                <w:szCs w:val="19"/>
              </w:rPr>
              <w:t xml:space="preserve">F1 (macro)</w:t>
            </w:r>
          </w:p>
        </w:tc>
        <w:tc>
          <w:tcPr>
            <w:tcW w:type="dxa" w:w="1135"/>
            <w:shd w:fill="D9E2F3" w:val="clear"/>
            <w:tcMar>
              <w:top w:type="dxa" w:w="60"/>
              <w:left w:type="dxa" w:w="80"/>
              <w:bottom w:type="dxa" w:w="60"/>
              <w:right w:type="dxa" w:w="80"/>
            </w:tcMar>
          </w:tcPr>
          <w:p>
            <w:pPr>
              <w:jc w:val="center"/>
            </w:pPr>
            <w:r>
              <w:rPr>
                <w:b/>
                <w:bCs/>
                <w:sz w:val="19"/>
                <w:szCs w:val="19"/>
              </w:rPr>
              <w:t xml:space="preserve">AUC</w:t>
            </w:r>
          </w:p>
        </w:tc>
      </w:tr>
      <w:tr>
        <w:trPr>
          <w:cantSplit/>
        </w:trPr>
        <w:tc>
          <w:tcPr>
            <w:tcW w:type="dxa" w:w="1958"/>
            <w:tcMar>
              <w:top w:type="dxa" w:w="60"/>
              <w:left w:type="dxa" w:w="80"/>
              <w:bottom w:type="dxa" w:w="60"/>
              <w:right w:type="dxa" w:w="80"/>
            </w:tcMar>
          </w:tcPr>
          <w:p>
            <w:pPr>
              <w:jc w:val="left"/>
            </w:pPr>
            <w:r>
              <w:rPr>
                <w:b w:val="false"/>
                <w:bCs w:val="false"/>
                <w:sz w:val="19"/>
                <w:szCs w:val="19"/>
              </w:rPr>
              <w:t xml:space="preserve">KD-GAMS-Net</w:t>
            </w:r>
          </w:p>
        </w:tc>
        <w:tc>
          <w:tcPr>
            <w:tcW w:type="dxa" w:w="1272"/>
            <w:tcMar>
              <w:top w:type="dxa" w:w="60"/>
              <w:left w:type="dxa" w:w="80"/>
              <w:bottom w:type="dxa" w:w="60"/>
              <w:right w:type="dxa" w:w="80"/>
            </w:tcMar>
          </w:tcPr>
          <w:p>
            <w:pPr>
              <w:jc w:val="center"/>
            </w:pPr>
            <w:r>
              <w:rPr>
                <w:b w:val="false"/>
                <w:bCs w:val="false"/>
                <w:sz w:val="19"/>
                <w:szCs w:val="19"/>
              </w:rPr>
              <w:t xml:space="preserve">3.164</w:t>
            </w:r>
          </w:p>
        </w:tc>
        <w:tc>
          <w:tcPr>
            <w:tcW w:type="dxa" w:w="1272"/>
            <w:tcMar>
              <w:top w:type="dxa" w:w="60"/>
              <w:left w:type="dxa" w:w="80"/>
              <w:bottom w:type="dxa" w:w="60"/>
              <w:right w:type="dxa" w:w="80"/>
            </w:tcMar>
          </w:tcPr>
          <w:p>
            <w:pPr>
              <w:jc w:val="center"/>
            </w:pPr>
            <w:r>
              <w:rPr>
                <w:b w:val="false"/>
                <w:bCs w:val="false"/>
                <w:sz w:val="19"/>
                <w:szCs w:val="19"/>
              </w:rPr>
              <w:t xml:space="preserve">0.9731</w:t>
            </w:r>
          </w:p>
        </w:tc>
        <w:tc>
          <w:tcPr>
            <w:tcW w:type="dxa" w:w="1272"/>
            <w:tcMar>
              <w:top w:type="dxa" w:w="60"/>
              <w:left w:type="dxa" w:w="80"/>
              <w:bottom w:type="dxa" w:w="60"/>
              <w:right w:type="dxa" w:w="80"/>
            </w:tcMar>
          </w:tcPr>
          <w:p>
            <w:pPr>
              <w:jc w:val="center"/>
            </w:pPr>
            <w:r>
              <w:rPr>
                <w:b w:val="false"/>
                <w:bCs w:val="false"/>
                <w:sz w:val="19"/>
                <w:szCs w:val="19"/>
              </w:rPr>
              <w:t xml:space="preserve">0.9573</w:t>
            </w:r>
          </w:p>
        </w:tc>
        <w:tc>
          <w:tcPr>
            <w:tcW w:type="dxa" w:w="1174"/>
            <w:tcMar>
              <w:top w:type="dxa" w:w="60"/>
              <w:left w:type="dxa" w:w="80"/>
              <w:bottom w:type="dxa" w:w="60"/>
              <w:right w:type="dxa" w:w="80"/>
            </w:tcMar>
          </w:tcPr>
          <w:p>
            <w:pPr>
              <w:jc w:val="center"/>
            </w:pPr>
            <w:r>
              <w:rPr>
                <w:b w:val="false"/>
                <w:bCs w:val="false"/>
                <w:sz w:val="19"/>
                <w:szCs w:val="19"/>
              </w:rPr>
              <w:t xml:space="preserve">0.9799</w:t>
            </w:r>
          </w:p>
        </w:tc>
        <w:tc>
          <w:tcPr>
            <w:tcW w:type="dxa" w:w="1272"/>
            <w:tcMar>
              <w:top w:type="dxa" w:w="60"/>
              <w:left w:type="dxa" w:w="80"/>
              <w:bottom w:type="dxa" w:w="60"/>
              <w:right w:type="dxa" w:w="80"/>
            </w:tcMar>
          </w:tcPr>
          <w:p>
            <w:pPr>
              <w:jc w:val="center"/>
            </w:pPr>
            <w:r>
              <w:rPr>
                <w:b w:val="false"/>
                <w:bCs w:val="false"/>
                <w:sz w:val="19"/>
                <w:szCs w:val="19"/>
              </w:rPr>
              <w:t xml:space="preserve">0.9680</w:t>
            </w:r>
          </w:p>
        </w:tc>
        <w:tc>
          <w:tcPr>
            <w:tcW w:type="dxa" w:w="1135"/>
            <w:tcMar>
              <w:top w:type="dxa" w:w="60"/>
              <w:left w:type="dxa" w:w="80"/>
              <w:bottom w:type="dxa" w:w="60"/>
              <w:right w:type="dxa" w:w="80"/>
            </w:tcMar>
          </w:tcPr>
          <w:p>
            <w:pPr>
              <w:jc w:val="center"/>
            </w:pPr>
            <w:r>
              <w:rPr>
                <w:b w:val="false"/>
                <w:bCs w:val="false"/>
                <w:sz w:val="19"/>
                <w:szCs w:val="19"/>
              </w:rPr>
              <w:t xml:space="preserve">0.9982</w:t>
            </w:r>
          </w:p>
        </w:tc>
      </w:tr>
      <w:tr>
        <w:trPr>
          <w:cantSplit/>
        </w:trPr>
        <w:tc>
          <w:tcPr>
            <w:tcW w:type="dxa" w:w="1958"/>
            <w:tcMar>
              <w:top w:type="dxa" w:w="60"/>
              <w:left w:type="dxa" w:w="80"/>
              <w:bottom w:type="dxa" w:w="60"/>
              <w:right w:type="dxa" w:w="80"/>
            </w:tcMar>
          </w:tcPr>
          <w:p>
            <w:pPr>
              <w:jc w:val="left"/>
            </w:pPr>
            <w:r>
              <w:rPr>
                <w:b w:val="false"/>
                <w:bCs w:val="false"/>
                <w:sz w:val="19"/>
                <w:szCs w:val="19"/>
              </w:rPr>
              <w:t xml:space="preserve">GAMS-Net baseline</w:t>
            </w:r>
          </w:p>
        </w:tc>
        <w:tc>
          <w:tcPr>
            <w:tcW w:type="dxa" w:w="1272"/>
            <w:tcMar>
              <w:top w:type="dxa" w:w="60"/>
              <w:left w:type="dxa" w:w="80"/>
              <w:bottom w:type="dxa" w:w="60"/>
              <w:right w:type="dxa" w:w="80"/>
            </w:tcMar>
          </w:tcPr>
          <w:p>
            <w:pPr>
              <w:jc w:val="center"/>
            </w:pPr>
            <w:r>
              <w:rPr>
                <w:b w:val="false"/>
                <w:bCs w:val="false"/>
                <w:sz w:val="19"/>
                <w:szCs w:val="19"/>
              </w:rPr>
              <w:t xml:space="preserve">2.956</w:t>
            </w:r>
          </w:p>
        </w:tc>
        <w:tc>
          <w:tcPr>
            <w:tcW w:type="dxa" w:w="1272"/>
            <w:tcMar>
              <w:top w:type="dxa" w:w="60"/>
              <w:left w:type="dxa" w:w="80"/>
              <w:bottom w:type="dxa" w:w="60"/>
              <w:right w:type="dxa" w:w="80"/>
            </w:tcMar>
          </w:tcPr>
          <w:p>
            <w:pPr>
              <w:jc w:val="center"/>
            </w:pPr>
            <w:r>
              <w:rPr>
                <w:b w:val="false"/>
                <w:bCs w:val="false"/>
                <w:sz w:val="19"/>
                <w:szCs w:val="19"/>
              </w:rPr>
              <w:t xml:space="preserve">0.9695</w:t>
            </w:r>
          </w:p>
        </w:tc>
        <w:tc>
          <w:tcPr>
            <w:tcW w:type="dxa" w:w="1272"/>
            <w:tcMar>
              <w:top w:type="dxa" w:w="60"/>
              <w:left w:type="dxa" w:w="80"/>
              <w:bottom w:type="dxa" w:w="60"/>
              <w:right w:type="dxa" w:w="80"/>
            </w:tcMar>
          </w:tcPr>
          <w:p>
            <w:pPr>
              <w:jc w:val="center"/>
            </w:pPr>
            <w:r>
              <w:rPr>
                <w:b w:val="false"/>
                <w:bCs w:val="false"/>
                <w:sz w:val="19"/>
                <w:szCs w:val="19"/>
              </w:rPr>
              <w:t xml:space="preserve">0.9443</w:t>
            </w:r>
          </w:p>
        </w:tc>
        <w:tc>
          <w:tcPr>
            <w:tcW w:type="dxa" w:w="1174"/>
            <w:tcMar>
              <w:top w:type="dxa" w:w="60"/>
              <w:left w:type="dxa" w:w="80"/>
              <w:bottom w:type="dxa" w:w="60"/>
              <w:right w:type="dxa" w:w="80"/>
            </w:tcMar>
          </w:tcPr>
          <w:p>
            <w:pPr>
              <w:jc w:val="center"/>
            </w:pPr>
            <w:r>
              <w:rPr>
                <w:b w:val="false"/>
                <w:bCs w:val="false"/>
                <w:sz w:val="19"/>
                <w:szCs w:val="19"/>
              </w:rPr>
              <w:t xml:space="preserve">0.9775</w:t>
            </w:r>
          </w:p>
        </w:tc>
        <w:tc>
          <w:tcPr>
            <w:tcW w:type="dxa" w:w="1272"/>
            <w:tcMar>
              <w:top w:type="dxa" w:w="60"/>
              <w:left w:type="dxa" w:w="80"/>
              <w:bottom w:type="dxa" w:w="60"/>
              <w:right w:type="dxa" w:w="80"/>
            </w:tcMar>
          </w:tcPr>
          <w:p>
            <w:pPr>
              <w:jc w:val="center"/>
            </w:pPr>
            <w:r>
              <w:rPr>
                <w:b w:val="false"/>
                <w:bCs w:val="false"/>
                <w:sz w:val="19"/>
                <w:szCs w:val="19"/>
              </w:rPr>
              <w:t xml:space="preserve">0.9597</w:t>
            </w:r>
          </w:p>
        </w:tc>
        <w:tc>
          <w:tcPr>
            <w:tcW w:type="dxa" w:w="1135"/>
            <w:tcMar>
              <w:top w:type="dxa" w:w="60"/>
              <w:left w:type="dxa" w:w="80"/>
              <w:bottom w:type="dxa" w:w="60"/>
              <w:right w:type="dxa" w:w="80"/>
            </w:tcMar>
          </w:tcPr>
          <w:p>
            <w:pPr>
              <w:jc w:val="center"/>
            </w:pPr>
            <w:r>
              <w:rPr>
                <w:b w:val="false"/>
                <w:bCs w:val="false"/>
                <w:sz w:val="19"/>
                <w:szCs w:val="19"/>
              </w:rPr>
              <w:t xml:space="preserve">0.9983</w:t>
            </w:r>
          </w:p>
        </w:tc>
      </w:tr>
      <w:tr>
        <w:trPr>
          <w:cantSplit/>
        </w:trPr>
        <w:tc>
          <w:tcPr>
            <w:tcW w:type="dxa" w:w="1958"/>
            <w:tcMar>
              <w:top w:type="dxa" w:w="60"/>
              <w:left w:type="dxa" w:w="80"/>
              <w:bottom w:type="dxa" w:w="60"/>
              <w:right w:type="dxa" w:w="80"/>
            </w:tcMar>
          </w:tcPr>
          <w:p>
            <w:pPr>
              <w:jc w:val="left"/>
            </w:pPr>
            <w:r>
              <w:rPr>
                <w:b w:val="false"/>
                <w:bCs w:val="false"/>
                <w:sz w:val="19"/>
                <w:szCs w:val="19"/>
              </w:rPr>
              <w:t xml:space="preserve">MobileNetV2</w:t>
            </w:r>
          </w:p>
        </w:tc>
        <w:tc>
          <w:tcPr>
            <w:tcW w:type="dxa" w:w="1272"/>
            <w:tcMar>
              <w:top w:type="dxa" w:w="60"/>
              <w:left w:type="dxa" w:w="80"/>
              <w:bottom w:type="dxa" w:w="60"/>
              <w:right w:type="dxa" w:w="80"/>
            </w:tcMar>
          </w:tcPr>
          <w:p>
            <w:pPr>
              <w:jc w:val="center"/>
            </w:pPr>
            <w:r>
              <w:rPr>
                <w:b w:val="false"/>
                <w:bCs w:val="false"/>
                <w:sz w:val="19"/>
                <w:szCs w:val="19"/>
              </w:rPr>
              <w:t xml:space="preserve">2.229</w:t>
            </w:r>
          </w:p>
        </w:tc>
        <w:tc>
          <w:tcPr>
            <w:tcW w:type="dxa" w:w="1272"/>
            <w:tcMar>
              <w:top w:type="dxa" w:w="60"/>
              <w:left w:type="dxa" w:w="80"/>
              <w:bottom w:type="dxa" w:w="60"/>
              <w:right w:type="dxa" w:w="80"/>
            </w:tcMar>
          </w:tcPr>
          <w:p>
            <w:pPr>
              <w:jc w:val="center"/>
            </w:pPr>
            <w:r>
              <w:rPr>
                <w:b w:val="false"/>
                <w:bCs w:val="false"/>
                <w:sz w:val="19"/>
                <w:szCs w:val="19"/>
              </w:rPr>
              <w:t xml:space="preserve">0.9756</w:t>
            </w:r>
          </w:p>
        </w:tc>
        <w:tc>
          <w:tcPr>
            <w:tcW w:type="dxa" w:w="1272"/>
            <w:tcMar>
              <w:top w:type="dxa" w:w="60"/>
              <w:left w:type="dxa" w:w="80"/>
              <w:bottom w:type="dxa" w:w="60"/>
              <w:right w:type="dxa" w:w="80"/>
            </w:tcMar>
          </w:tcPr>
          <w:p>
            <w:pPr>
              <w:jc w:val="center"/>
            </w:pPr>
            <w:r>
              <w:rPr>
                <w:b w:val="false"/>
                <w:bCs w:val="false"/>
                <w:sz w:val="19"/>
                <w:szCs w:val="19"/>
              </w:rPr>
              <w:t xml:space="preserve">0.9814</w:t>
            </w:r>
          </w:p>
        </w:tc>
        <w:tc>
          <w:tcPr>
            <w:tcW w:type="dxa" w:w="1174"/>
            <w:tcMar>
              <w:top w:type="dxa" w:w="60"/>
              <w:left w:type="dxa" w:w="80"/>
              <w:bottom w:type="dxa" w:w="60"/>
              <w:right w:type="dxa" w:w="80"/>
            </w:tcMar>
          </w:tcPr>
          <w:p>
            <w:pPr>
              <w:jc w:val="center"/>
            </w:pPr>
            <w:r>
              <w:rPr>
                <w:b w:val="false"/>
                <w:bCs w:val="false"/>
                <w:sz w:val="19"/>
                <w:szCs w:val="19"/>
              </w:rPr>
              <w:t xml:space="preserve">0.9813</w:t>
            </w:r>
          </w:p>
        </w:tc>
        <w:tc>
          <w:tcPr>
            <w:tcW w:type="dxa" w:w="1272"/>
            <w:tcMar>
              <w:top w:type="dxa" w:w="60"/>
              <w:left w:type="dxa" w:w="80"/>
              <w:bottom w:type="dxa" w:w="60"/>
              <w:right w:type="dxa" w:w="80"/>
            </w:tcMar>
          </w:tcPr>
          <w:p>
            <w:pPr>
              <w:jc w:val="center"/>
            </w:pPr>
            <w:r>
              <w:rPr>
                <w:b w:val="false"/>
                <w:bCs w:val="false"/>
                <w:sz w:val="19"/>
                <w:szCs w:val="19"/>
              </w:rPr>
              <w:t xml:space="preserve">0.9813</w:t>
            </w:r>
          </w:p>
        </w:tc>
        <w:tc>
          <w:tcPr>
            <w:tcW w:type="dxa" w:w="1135"/>
            <w:tcMar>
              <w:top w:type="dxa" w:w="60"/>
              <w:left w:type="dxa" w:w="80"/>
              <w:bottom w:type="dxa" w:w="60"/>
              <w:right w:type="dxa" w:w="80"/>
            </w:tcMar>
          </w:tcPr>
          <w:p>
            <w:pPr>
              <w:jc w:val="center"/>
            </w:pPr>
            <w:r>
              <w:rPr>
                <w:b w:val="false"/>
                <w:bCs w:val="false"/>
                <w:sz w:val="19"/>
                <w:szCs w:val="19"/>
              </w:rPr>
              <w:t xml:space="preserve">0.9993</w:t>
            </w:r>
          </w:p>
        </w:tc>
      </w:tr>
      <w:tr>
        <w:trPr>
          <w:cantSplit/>
        </w:trPr>
        <w:tc>
          <w:tcPr>
            <w:tcW w:type="dxa" w:w="1958"/>
            <w:tcMar>
              <w:top w:type="dxa" w:w="60"/>
              <w:left w:type="dxa" w:w="80"/>
              <w:bottom w:type="dxa" w:w="60"/>
              <w:right w:type="dxa" w:w="80"/>
            </w:tcMar>
          </w:tcPr>
          <w:p>
            <w:pPr>
              <w:jc w:val="left"/>
            </w:pPr>
            <w:r>
              <w:rPr>
                <w:b w:val="false"/>
                <w:bCs w:val="false"/>
                <w:sz w:val="19"/>
                <w:szCs w:val="19"/>
              </w:rPr>
              <w:t xml:space="preserve">EfficientNet-B0</w:t>
            </w:r>
          </w:p>
        </w:tc>
        <w:tc>
          <w:tcPr>
            <w:tcW w:type="dxa" w:w="1272"/>
            <w:tcMar>
              <w:top w:type="dxa" w:w="60"/>
              <w:left w:type="dxa" w:w="80"/>
              <w:bottom w:type="dxa" w:w="60"/>
              <w:right w:type="dxa" w:w="80"/>
            </w:tcMar>
          </w:tcPr>
          <w:p>
            <w:pPr>
              <w:jc w:val="center"/>
            </w:pPr>
            <w:r>
              <w:rPr>
                <w:b w:val="false"/>
                <w:bCs w:val="false"/>
                <w:sz w:val="19"/>
                <w:szCs w:val="19"/>
              </w:rPr>
              <w:t xml:space="preserve">4.013</w:t>
            </w:r>
          </w:p>
        </w:tc>
        <w:tc>
          <w:tcPr>
            <w:tcW w:type="dxa" w:w="1272"/>
            <w:tcMar>
              <w:top w:type="dxa" w:w="60"/>
              <w:left w:type="dxa" w:w="80"/>
              <w:bottom w:type="dxa" w:w="60"/>
              <w:right w:type="dxa" w:w="80"/>
            </w:tcMar>
          </w:tcPr>
          <w:p>
            <w:pPr>
              <w:jc w:val="center"/>
            </w:pPr>
            <w:r>
              <w:rPr>
                <w:b w:val="false"/>
                <w:bCs w:val="false"/>
                <w:sz w:val="19"/>
                <w:szCs w:val="19"/>
              </w:rPr>
              <w:t xml:space="preserve">0.9719</w:t>
            </w:r>
          </w:p>
        </w:tc>
        <w:tc>
          <w:tcPr>
            <w:tcW w:type="dxa" w:w="1272"/>
            <w:tcMar>
              <w:top w:type="dxa" w:w="60"/>
              <w:left w:type="dxa" w:w="80"/>
              <w:bottom w:type="dxa" w:w="60"/>
              <w:right w:type="dxa" w:w="80"/>
            </w:tcMar>
          </w:tcPr>
          <w:p>
            <w:pPr>
              <w:jc w:val="center"/>
            </w:pPr>
            <w:r>
              <w:rPr>
                <w:b w:val="false"/>
                <w:bCs w:val="false"/>
                <w:sz w:val="19"/>
                <w:szCs w:val="19"/>
              </w:rPr>
              <w:t xml:space="preserve">0.9673</w:t>
            </w:r>
          </w:p>
        </w:tc>
        <w:tc>
          <w:tcPr>
            <w:tcW w:type="dxa" w:w="1174"/>
            <w:tcMar>
              <w:top w:type="dxa" w:w="60"/>
              <w:left w:type="dxa" w:w="80"/>
              <w:bottom w:type="dxa" w:w="60"/>
              <w:right w:type="dxa" w:w="80"/>
            </w:tcMar>
          </w:tcPr>
          <w:p>
            <w:pPr>
              <w:jc w:val="center"/>
            </w:pPr>
            <w:r>
              <w:rPr>
                <w:b w:val="false"/>
                <w:bCs w:val="false"/>
                <w:sz w:val="19"/>
                <w:szCs w:val="19"/>
              </w:rPr>
              <w:t xml:space="preserve">0.9783</w:t>
            </w:r>
          </w:p>
        </w:tc>
        <w:tc>
          <w:tcPr>
            <w:tcW w:type="dxa" w:w="1272"/>
            <w:tcMar>
              <w:top w:type="dxa" w:w="60"/>
              <w:left w:type="dxa" w:w="80"/>
              <w:bottom w:type="dxa" w:w="60"/>
              <w:right w:type="dxa" w:w="80"/>
            </w:tcMar>
          </w:tcPr>
          <w:p>
            <w:pPr>
              <w:jc w:val="center"/>
            </w:pPr>
            <w:r>
              <w:rPr>
                <w:b w:val="false"/>
                <w:bCs w:val="false"/>
                <w:sz w:val="19"/>
                <w:szCs w:val="19"/>
              </w:rPr>
              <w:t xml:space="preserve">0.9726</w:t>
            </w:r>
          </w:p>
        </w:tc>
        <w:tc>
          <w:tcPr>
            <w:tcW w:type="dxa" w:w="1135"/>
            <w:tcMar>
              <w:top w:type="dxa" w:w="60"/>
              <w:left w:type="dxa" w:w="80"/>
              <w:bottom w:type="dxa" w:w="60"/>
              <w:right w:type="dxa" w:w="80"/>
            </w:tcMar>
          </w:tcPr>
          <w:p>
            <w:pPr>
              <w:jc w:val="center"/>
            </w:pPr>
            <w:r>
              <w:rPr>
                <w:b w:val="false"/>
                <w:bCs w:val="false"/>
                <w:sz w:val="19"/>
                <w:szCs w:val="19"/>
              </w:rPr>
              <w:t xml:space="preserve">0.9991</w:t>
            </w:r>
          </w:p>
        </w:tc>
      </w:tr>
    </w:tbl>
    <w:p>
      <w:pPr>
        <w:spacing w:after="160"/>
        <w:jc w:val="both"/>
      </w:pPr>
      <w:r>
        <w:rPr>
          <w:sz w:val="22"/>
          <w:szCs w:val="22"/>
        </w:rPr>
        <w:t xml:space="preserve"/>
      </w:r>
    </w:p>
    <w:p>
      <w:pPr>
        <w:spacing w:after="240"/>
        <w:jc w:val="center"/>
      </w:pPr>
      <w:r>
        <w:rPr>
          <w:i/>
          <w:iCs/>
          <w:sz w:val="20"/>
          <w:szCs w:val="20"/>
        </w:rPr>
        <w:t xml:space="preserve">Table 3. Efficiency comparison (seed 42). MobileNetV2/EfficientNet-B0 parameter counts are corrected per Section 3.12.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600"/>
            <w:shd w:fill="D9E2F3" w:val="clear"/>
            <w:tcMar>
              <w:top w:type="dxa" w:w="60"/>
              <w:left w:type="dxa" w:w="80"/>
              <w:bottom w:type="dxa" w:w="60"/>
              <w:right w:type="dxa" w:w="80"/>
            </w:tcMar>
          </w:tcPr>
          <w:p>
            <w:pPr>
              <w:jc w:val="center"/>
            </w:pPr>
            <w:r>
              <w:rPr>
                <w:b/>
                <w:bCs/>
                <w:sz w:val="19"/>
                <w:szCs w:val="19"/>
              </w:rPr>
              <w:t xml:space="preserve">Model</w:t>
            </w:r>
          </w:p>
        </w:tc>
        <w:tc>
          <w:tcPr>
            <w:tcW w:type="dxa" w:w="1500"/>
            <w:shd w:fill="D9E2F3" w:val="clear"/>
            <w:tcMar>
              <w:top w:type="dxa" w:w="60"/>
              <w:left w:type="dxa" w:w="80"/>
              <w:bottom w:type="dxa" w:w="60"/>
              <w:right w:type="dxa" w:w="80"/>
            </w:tcMar>
          </w:tcPr>
          <w:p>
            <w:pPr>
              <w:jc w:val="center"/>
            </w:pPr>
            <w:r>
              <w:rPr>
                <w:b/>
                <w:bCs/>
                <w:sz w:val="19"/>
                <w:szCs w:val="19"/>
              </w:rPr>
              <w:t xml:space="preserve">Params (M)</w:t>
            </w:r>
          </w:p>
        </w:tc>
        <w:tc>
          <w:tcPr>
            <w:tcW w:type="dxa" w:w="1600"/>
            <w:shd w:fill="D9E2F3" w:val="clear"/>
            <w:tcMar>
              <w:top w:type="dxa" w:w="60"/>
              <w:left w:type="dxa" w:w="80"/>
              <w:bottom w:type="dxa" w:w="60"/>
              <w:right w:type="dxa" w:w="80"/>
            </w:tcMar>
          </w:tcPr>
          <w:p>
            <w:pPr>
              <w:jc w:val="center"/>
            </w:pPr>
            <w:r>
              <w:rPr>
                <w:b/>
                <w:bCs/>
                <w:sz w:val="19"/>
                <w:szCs w:val="19"/>
              </w:rPr>
              <w:t xml:space="preserve">FLOPs (GMac)</w:t>
            </w:r>
          </w:p>
        </w:tc>
        <w:tc>
          <w:tcPr>
            <w:tcW w:type="dxa" w:w="1800"/>
            <w:shd w:fill="D9E2F3" w:val="clear"/>
            <w:tcMar>
              <w:top w:type="dxa" w:w="60"/>
              <w:left w:type="dxa" w:w="80"/>
              <w:bottom w:type="dxa" w:w="60"/>
              <w:right w:type="dxa" w:w="80"/>
            </w:tcMar>
          </w:tcPr>
          <w:p>
            <w:pPr>
              <w:jc w:val="center"/>
            </w:pPr>
            <w:r>
              <w:rPr>
                <w:b/>
                <w:bCs/>
                <w:sz w:val="19"/>
                <w:szCs w:val="19"/>
              </w:rPr>
              <w:t xml:space="preserve">Latency GPU (ms)</w:t>
            </w:r>
          </w:p>
        </w:tc>
        <w:tc>
          <w:tcPr>
            <w:tcW w:type="dxa" w:w="1800"/>
            <w:shd w:fill="D9E2F3" w:val="clear"/>
            <w:tcMar>
              <w:top w:type="dxa" w:w="60"/>
              <w:left w:type="dxa" w:w="80"/>
              <w:bottom w:type="dxa" w:w="60"/>
              <w:right w:type="dxa" w:w="80"/>
            </w:tcMar>
          </w:tcPr>
          <w:p>
            <w:pPr>
              <w:jc w:val="center"/>
            </w:pPr>
            <w:r>
              <w:rPr>
                <w:b/>
                <w:bCs/>
                <w:sz w:val="19"/>
                <w:szCs w:val="19"/>
              </w:rPr>
              <w:t xml:space="preserve">Latency CPU (ms)</w:t>
            </w:r>
          </w:p>
        </w:tc>
      </w:tr>
      <w:tr>
        <w:trPr>
          <w:cantSplit/>
        </w:trPr>
        <w:tc>
          <w:tcPr>
            <w:tcW w:type="dxa" w:w="2600"/>
            <w:tcMar>
              <w:top w:type="dxa" w:w="60"/>
              <w:left w:type="dxa" w:w="80"/>
              <w:bottom w:type="dxa" w:w="60"/>
              <w:right w:type="dxa" w:w="80"/>
            </w:tcMar>
          </w:tcPr>
          <w:p>
            <w:pPr>
              <w:jc w:val="left"/>
            </w:pPr>
            <w:r>
              <w:rPr>
                <w:b w:val="false"/>
                <w:bCs w:val="false"/>
                <w:sz w:val="19"/>
                <w:szCs w:val="19"/>
              </w:rPr>
              <w:t xml:space="preserve">KD-GAMS-Net</w:t>
            </w:r>
          </w:p>
        </w:tc>
        <w:tc>
          <w:tcPr>
            <w:tcW w:type="dxa" w:w="1500"/>
            <w:tcMar>
              <w:top w:type="dxa" w:w="60"/>
              <w:left w:type="dxa" w:w="80"/>
              <w:bottom w:type="dxa" w:w="60"/>
              <w:right w:type="dxa" w:w="80"/>
            </w:tcMar>
          </w:tcPr>
          <w:p>
            <w:pPr>
              <w:jc w:val="center"/>
            </w:pPr>
            <w:r>
              <w:rPr>
                <w:b w:val="false"/>
                <w:bCs w:val="false"/>
                <w:sz w:val="19"/>
                <w:szCs w:val="19"/>
              </w:rPr>
              <w:t xml:space="preserve">3.164</w:t>
            </w:r>
          </w:p>
        </w:tc>
        <w:tc>
          <w:tcPr>
            <w:tcW w:type="dxa" w:w="1600"/>
            <w:tcMar>
              <w:top w:type="dxa" w:w="60"/>
              <w:left w:type="dxa" w:w="80"/>
              <w:bottom w:type="dxa" w:w="60"/>
              <w:right w:type="dxa" w:w="80"/>
            </w:tcMar>
          </w:tcPr>
          <w:p>
            <w:pPr>
              <w:jc w:val="center"/>
            </w:pPr>
            <w:r>
              <w:rPr>
                <w:b w:val="false"/>
                <w:bCs w:val="false"/>
                <w:sz w:val="19"/>
                <w:szCs w:val="19"/>
              </w:rPr>
              <w:t xml:space="preserve">1.853</w:t>
            </w:r>
          </w:p>
        </w:tc>
        <w:tc>
          <w:tcPr>
            <w:tcW w:type="dxa" w:w="1800"/>
            <w:tcMar>
              <w:top w:type="dxa" w:w="60"/>
              <w:left w:type="dxa" w:w="80"/>
              <w:bottom w:type="dxa" w:w="60"/>
              <w:right w:type="dxa" w:w="80"/>
            </w:tcMar>
          </w:tcPr>
          <w:p>
            <w:pPr>
              <w:jc w:val="center"/>
            </w:pPr>
            <w:r>
              <w:rPr>
                <w:b w:val="false"/>
                <w:bCs w:val="false"/>
                <w:sz w:val="19"/>
                <w:szCs w:val="19"/>
              </w:rPr>
              <w:t xml:space="preserve">4.806</w:t>
            </w:r>
          </w:p>
        </w:tc>
        <w:tc>
          <w:tcPr>
            <w:tcW w:type="dxa" w:w="1800"/>
            <w:tcMar>
              <w:top w:type="dxa" w:w="60"/>
              <w:left w:type="dxa" w:w="80"/>
              <w:bottom w:type="dxa" w:w="60"/>
              <w:right w:type="dxa" w:w="80"/>
            </w:tcMar>
          </w:tcPr>
          <w:p>
            <w:pPr>
              <w:jc w:val="center"/>
            </w:pPr>
            <w:r>
              <w:rPr>
                <w:b w:val="false"/>
                <w:bCs w:val="false"/>
                <w:sz w:val="19"/>
                <w:szCs w:val="19"/>
              </w:rPr>
              <w:t xml:space="preserve">44.761</w:t>
            </w:r>
          </w:p>
        </w:tc>
      </w:tr>
      <w:tr>
        <w:trPr>
          <w:cantSplit/>
        </w:trPr>
        <w:tc>
          <w:tcPr>
            <w:tcW w:type="dxa" w:w="2600"/>
            <w:tcMar>
              <w:top w:type="dxa" w:w="60"/>
              <w:left w:type="dxa" w:w="80"/>
              <w:bottom w:type="dxa" w:w="60"/>
              <w:right w:type="dxa" w:w="80"/>
            </w:tcMar>
          </w:tcPr>
          <w:p>
            <w:pPr>
              <w:jc w:val="left"/>
            </w:pPr>
            <w:r>
              <w:rPr>
                <w:b w:val="false"/>
                <w:bCs w:val="false"/>
                <w:sz w:val="19"/>
                <w:szCs w:val="19"/>
              </w:rPr>
              <w:t xml:space="preserve">GAMS-Net baseline</w:t>
            </w:r>
          </w:p>
        </w:tc>
        <w:tc>
          <w:tcPr>
            <w:tcW w:type="dxa" w:w="1500"/>
            <w:tcMar>
              <w:top w:type="dxa" w:w="60"/>
              <w:left w:type="dxa" w:w="80"/>
              <w:bottom w:type="dxa" w:w="60"/>
              <w:right w:type="dxa" w:w="80"/>
            </w:tcMar>
          </w:tcPr>
          <w:p>
            <w:pPr>
              <w:jc w:val="center"/>
            </w:pPr>
            <w:r>
              <w:rPr>
                <w:b w:val="false"/>
                <w:bCs w:val="false"/>
                <w:sz w:val="19"/>
                <w:szCs w:val="19"/>
              </w:rPr>
              <w:t xml:space="preserve">2.956</w:t>
            </w:r>
          </w:p>
        </w:tc>
        <w:tc>
          <w:tcPr>
            <w:tcW w:type="dxa" w:w="1600"/>
            <w:tcMar>
              <w:top w:type="dxa" w:w="60"/>
              <w:left w:type="dxa" w:w="80"/>
              <w:bottom w:type="dxa" w:w="60"/>
              <w:right w:type="dxa" w:w="80"/>
            </w:tcMar>
          </w:tcPr>
          <w:p>
            <w:pPr>
              <w:jc w:val="center"/>
            </w:pPr>
            <w:r>
              <w:rPr>
                <w:b w:val="false"/>
                <w:bCs w:val="false"/>
                <w:sz w:val="19"/>
                <w:szCs w:val="19"/>
              </w:rPr>
              <w:t xml:space="preserve">1.200</w:t>
            </w:r>
          </w:p>
        </w:tc>
        <w:tc>
          <w:tcPr>
            <w:tcW w:type="dxa" w:w="1800"/>
            <w:tcMar>
              <w:top w:type="dxa" w:w="60"/>
              <w:left w:type="dxa" w:w="80"/>
              <w:bottom w:type="dxa" w:w="60"/>
              <w:right w:type="dxa" w:w="80"/>
            </w:tcMar>
          </w:tcPr>
          <w:p>
            <w:pPr>
              <w:jc w:val="center"/>
            </w:pPr>
            <w:r>
              <w:rPr>
                <w:b w:val="false"/>
                <w:bCs w:val="false"/>
                <w:sz w:val="19"/>
                <w:szCs w:val="19"/>
              </w:rPr>
              <w:t xml:space="preserve">4.463</w:t>
            </w:r>
          </w:p>
        </w:tc>
        <w:tc>
          <w:tcPr>
            <w:tcW w:type="dxa" w:w="1800"/>
            <w:tcMar>
              <w:top w:type="dxa" w:w="60"/>
              <w:left w:type="dxa" w:w="80"/>
              <w:bottom w:type="dxa" w:w="60"/>
              <w:right w:type="dxa" w:w="80"/>
            </w:tcMar>
          </w:tcPr>
          <w:p>
            <w:pPr>
              <w:jc w:val="center"/>
            </w:pPr>
            <w:r>
              <w:rPr>
                <w:b w:val="false"/>
                <w:bCs w:val="false"/>
                <w:sz w:val="19"/>
                <w:szCs w:val="19"/>
              </w:rPr>
              <w:t xml:space="preserve">35.969</w:t>
            </w:r>
          </w:p>
        </w:tc>
      </w:tr>
      <w:tr>
        <w:trPr>
          <w:cantSplit/>
        </w:trPr>
        <w:tc>
          <w:tcPr>
            <w:tcW w:type="dxa" w:w="2600"/>
            <w:tcMar>
              <w:top w:type="dxa" w:w="60"/>
              <w:left w:type="dxa" w:w="80"/>
              <w:bottom w:type="dxa" w:w="60"/>
              <w:right w:type="dxa" w:w="80"/>
            </w:tcMar>
          </w:tcPr>
          <w:p>
            <w:pPr>
              <w:jc w:val="left"/>
            </w:pPr>
            <w:r>
              <w:rPr>
                <w:b w:val="false"/>
                <w:bCs w:val="false"/>
                <w:sz w:val="19"/>
                <w:szCs w:val="19"/>
              </w:rPr>
              <w:t xml:space="preserve">MobileNetV2 (corrected)</w:t>
            </w:r>
          </w:p>
        </w:tc>
        <w:tc>
          <w:tcPr>
            <w:tcW w:type="dxa" w:w="1500"/>
            <w:tcMar>
              <w:top w:type="dxa" w:w="60"/>
              <w:left w:type="dxa" w:w="80"/>
              <w:bottom w:type="dxa" w:w="60"/>
              <w:right w:type="dxa" w:w="80"/>
            </w:tcMar>
          </w:tcPr>
          <w:p>
            <w:pPr>
              <w:jc w:val="center"/>
            </w:pPr>
            <w:r>
              <w:rPr>
                <w:b w:val="false"/>
                <w:bCs w:val="false"/>
                <w:sz w:val="19"/>
                <w:szCs w:val="19"/>
              </w:rPr>
              <w:t xml:space="preserve">2.229</w:t>
            </w:r>
          </w:p>
        </w:tc>
        <w:tc>
          <w:tcPr>
            <w:tcW w:type="dxa" w:w="1600"/>
            <w:tcMar>
              <w:top w:type="dxa" w:w="60"/>
              <w:left w:type="dxa" w:w="80"/>
              <w:bottom w:type="dxa" w:w="60"/>
              <w:right w:type="dxa" w:w="80"/>
            </w:tcMar>
          </w:tcPr>
          <w:p>
            <w:pPr>
              <w:jc w:val="center"/>
            </w:pPr>
            <w:r>
              <w:rPr>
                <w:b w:val="false"/>
                <w:bCs w:val="false"/>
                <w:sz w:val="19"/>
                <w:szCs w:val="19"/>
              </w:rPr>
              <w:t xml:space="preserve">0.326</w:t>
            </w:r>
          </w:p>
        </w:tc>
        <w:tc>
          <w:tcPr>
            <w:tcW w:type="dxa" w:w="1800"/>
            <w:tcMar>
              <w:top w:type="dxa" w:w="60"/>
              <w:left w:type="dxa" w:w="80"/>
              <w:bottom w:type="dxa" w:w="60"/>
              <w:right w:type="dxa" w:w="80"/>
            </w:tcMar>
          </w:tcPr>
          <w:p>
            <w:pPr>
              <w:jc w:val="center"/>
            </w:pPr>
            <w:r>
              <w:rPr>
                <w:b w:val="false"/>
                <w:bCs w:val="false"/>
                <w:sz w:val="19"/>
                <w:szCs w:val="19"/>
              </w:rPr>
              <w:t xml:space="preserve">5.183</w:t>
            </w:r>
          </w:p>
        </w:tc>
        <w:tc>
          <w:tcPr>
            <w:tcW w:type="dxa" w:w="1800"/>
            <w:tcMar>
              <w:top w:type="dxa" w:w="60"/>
              <w:left w:type="dxa" w:w="80"/>
              <w:bottom w:type="dxa" w:w="60"/>
              <w:right w:type="dxa" w:w="80"/>
            </w:tcMar>
          </w:tcPr>
          <w:p>
            <w:pPr>
              <w:jc w:val="center"/>
            </w:pPr>
            <w:r>
              <w:rPr>
                <w:b w:val="false"/>
                <w:bCs w:val="false"/>
                <w:sz w:val="19"/>
                <w:szCs w:val="19"/>
              </w:rPr>
              <w:t xml:space="preserve">21.900</w:t>
            </w:r>
          </w:p>
        </w:tc>
      </w:tr>
      <w:tr>
        <w:trPr>
          <w:cantSplit/>
        </w:trPr>
        <w:tc>
          <w:tcPr>
            <w:tcW w:type="dxa" w:w="2600"/>
            <w:tcMar>
              <w:top w:type="dxa" w:w="60"/>
              <w:left w:type="dxa" w:w="80"/>
              <w:bottom w:type="dxa" w:w="60"/>
              <w:right w:type="dxa" w:w="80"/>
            </w:tcMar>
          </w:tcPr>
          <w:p>
            <w:pPr>
              <w:jc w:val="left"/>
            </w:pPr>
            <w:r>
              <w:rPr>
                <w:b w:val="false"/>
                <w:bCs w:val="false"/>
                <w:sz w:val="19"/>
                <w:szCs w:val="19"/>
              </w:rPr>
              <w:t xml:space="preserve">EfficientNet-B0 (corrected)</w:t>
            </w:r>
          </w:p>
        </w:tc>
        <w:tc>
          <w:tcPr>
            <w:tcW w:type="dxa" w:w="1500"/>
            <w:tcMar>
              <w:top w:type="dxa" w:w="60"/>
              <w:left w:type="dxa" w:w="80"/>
              <w:bottom w:type="dxa" w:w="60"/>
              <w:right w:type="dxa" w:w="80"/>
            </w:tcMar>
          </w:tcPr>
          <w:p>
            <w:pPr>
              <w:jc w:val="center"/>
            </w:pPr>
            <w:r>
              <w:rPr>
                <w:b w:val="false"/>
                <w:bCs w:val="false"/>
                <w:sz w:val="19"/>
                <w:szCs w:val="19"/>
              </w:rPr>
              <w:t xml:space="preserve">4.013</w:t>
            </w:r>
          </w:p>
        </w:tc>
        <w:tc>
          <w:tcPr>
            <w:tcW w:type="dxa" w:w="1600"/>
            <w:tcMar>
              <w:top w:type="dxa" w:w="60"/>
              <w:left w:type="dxa" w:w="80"/>
              <w:bottom w:type="dxa" w:w="60"/>
              <w:right w:type="dxa" w:w="80"/>
            </w:tcMar>
          </w:tcPr>
          <w:p>
            <w:pPr>
              <w:jc w:val="center"/>
            </w:pPr>
            <w:r>
              <w:rPr>
                <w:b w:val="false"/>
                <w:bCs w:val="false"/>
                <w:sz w:val="19"/>
                <w:szCs w:val="19"/>
              </w:rPr>
              <w:t xml:space="preserve">0.414</w:t>
            </w:r>
          </w:p>
        </w:tc>
        <w:tc>
          <w:tcPr>
            <w:tcW w:type="dxa" w:w="1800"/>
            <w:tcMar>
              <w:top w:type="dxa" w:w="60"/>
              <w:left w:type="dxa" w:w="80"/>
              <w:bottom w:type="dxa" w:w="60"/>
              <w:right w:type="dxa" w:w="80"/>
            </w:tcMar>
          </w:tcPr>
          <w:p>
            <w:pPr>
              <w:jc w:val="center"/>
            </w:pPr>
            <w:r>
              <w:rPr>
                <w:b w:val="false"/>
                <w:bCs w:val="false"/>
                <w:sz w:val="19"/>
                <w:szCs w:val="19"/>
              </w:rPr>
              <w:t xml:space="preserve">8.130</w:t>
            </w:r>
          </w:p>
        </w:tc>
        <w:tc>
          <w:tcPr>
            <w:tcW w:type="dxa" w:w="1800"/>
            <w:tcMar>
              <w:top w:type="dxa" w:w="60"/>
              <w:left w:type="dxa" w:w="80"/>
              <w:bottom w:type="dxa" w:w="60"/>
              <w:right w:type="dxa" w:w="80"/>
            </w:tcMar>
          </w:tcPr>
          <w:p>
            <w:pPr>
              <w:jc w:val="center"/>
            </w:pPr>
            <w:r>
              <w:rPr>
                <w:b w:val="false"/>
                <w:bCs w:val="false"/>
                <w:sz w:val="19"/>
                <w:szCs w:val="19"/>
              </w:rPr>
              <w:t xml:space="preserve">36.514</w:t>
            </w:r>
          </w:p>
        </w:tc>
      </w:tr>
    </w:tbl>
    <w:p>
      <w:pPr>
        <w:spacing w:after="160"/>
        <w:jc w:val="both"/>
      </w:pPr>
      <w:r>
        <w:rPr>
          <w:sz w:val="22"/>
          <w:szCs w:val="22"/>
        </w:rPr>
        <w:t xml:space="preserve"/>
      </w:r>
    </w:p>
    <w:p>
      <w:pPr>
        <w:spacing w:after="60" w:before="120"/>
        <w:jc w:val="center"/>
      </w:pPr>
      <w:r>
        <w:drawing>
          <wp:inline distT="0" distB="0" distL="0" distR="0">
            <wp:extent cx="59436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867275"/>
                    </a:xfrm>
                    <a:prstGeom prst="rect">
                      <a:avLst/>
                    </a:prstGeom>
                  </pic:spPr>
                </pic:pic>
              </a:graphicData>
            </a:graphic>
          </wp:inline>
        </w:drawing>
      </w:r>
    </w:p>
    <w:p>
      <w:pPr>
        <w:spacing w:after="240"/>
        <w:jc w:val="center"/>
      </w:pPr>
      <w:r>
        <w:rPr>
          <w:i/>
          <w:iCs/>
          <w:sz w:val="20"/>
          <w:szCs w:val="20"/>
        </w:rPr>
        <w:t xml:space="preserve">Figure 1. Confusion matrices for the four headline models on the leak-audited 819-image test set (seed 42). Every model classifies all 19 remaining no-tumor images correctly.</w:t>
      </w:r>
    </w:p>
    <w:p>
      <w:pPr>
        <w:pStyle w:val="Heading2"/>
        <w:spacing w:after="120" w:before="240"/>
      </w:pPr>
      <w:r>
        <w:t xml:space="preserve">4.3 Multi-seed robustness</w:t>
      </w:r>
    </w:p>
    <w:p>
      <w:pPr>
        <w:spacing w:after="160"/>
        <w:jc w:val="both"/>
      </w:pPr>
      <w:r>
        <w:rPr>
          <w:sz w:val="22"/>
          <w:szCs w:val="22"/>
        </w:rPr>
        <w:t xml:space="preserve">Table 4 reports the mean ± standard deviation across three seeds (42, 123, 2024), the primary comparison we recommend over any single run. KD-GAMS-Net's standard deviation (0.43 points) is roughly four times smaller than the GAMS-Net baseline's (1.68 points), indicating substantially more stable training, and its mean accuracy is 0.49 points higher. The gap to the pretrained teachers narrows from the 5–6 points reported in the companion study to 1.26 points (MobileNetV2) and 0.86 points (EfficientNet-B0).</w:t>
      </w:r>
    </w:p>
    <w:p>
      <w:pPr>
        <w:spacing w:after="240"/>
        <w:jc w:val="center"/>
      </w:pPr>
      <w:r>
        <w:rPr>
          <w:i/>
          <w:iCs/>
          <w:sz w:val="20"/>
          <w:szCs w:val="20"/>
        </w:rPr>
        <w:t xml:space="preserve">Table 4. Three-seed (42, 123, 2024) test accuracy and F1, mean ± standard deviation.</w:t>
      </w:r>
    </w:p>
    <w:tbl>
      <w:tblPr>
        <w:tblW w:type="dxa" w:w="935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588"/>
            <w:shd w:fill="D9E2F3" w:val="clear"/>
            <w:tcMar>
              <w:top w:type="dxa" w:w="60"/>
              <w:left w:type="dxa" w:w="80"/>
              <w:bottom w:type="dxa" w:w="60"/>
              <w:right w:type="dxa" w:w="80"/>
            </w:tcMar>
          </w:tcPr>
          <w:p>
            <w:pPr>
              <w:jc w:val="center"/>
            </w:pPr>
            <w:r>
              <w:rPr>
                <w:b/>
                <w:bCs/>
                <w:sz w:val="19"/>
                <w:szCs w:val="19"/>
              </w:rPr>
              <w:t xml:space="preserve">Model</w:t>
            </w:r>
          </w:p>
        </w:tc>
        <w:tc>
          <w:tcPr>
            <w:tcW w:type="dxa" w:w="3385"/>
            <w:shd w:fill="D9E2F3" w:val="clear"/>
            <w:tcMar>
              <w:top w:type="dxa" w:w="60"/>
              <w:left w:type="dxa" w:w="80"/>
              <w:bottom w:type="dxa" w:w="60"/>
              <w:right w:type="dxa" w:w="80"/>
            </w:tcMar>
          </w:tcPr>
          <w:p>
            <w:pPr>
              <w:jc w:val="center"/>
            </w:pPr>
            <w:r>
              <w:rPr>
                <w:b/>
                <w:bCs/>
                <w:sz w:val="19"/>
                <w:szCs w:val="19"/>
              </w:rPr>
              <w:t xml:space="preserve">Accuracy (mean ± SD)</w:t>
            </w:r>
          </w:p>
        </w:tc>
        <w:tc>
          <w:tcPr>
            <w:tcW w:type="dxa" w:w="3385"/>
            <w:shd w:fill="D9E2F3" w:val="clear"/>
            <w:tcMar>
              <w:top w:type="dxa" w:w="60"/>
              <w:left w:type="dxa" w:w="80"/>
              <w:bottom w:type="dxa" w:w="60"/>
              <w:right w:type="dxa" w:w="80"/>
            </w:tcMar>
          </w:tcPr>
          <w:p>
            <w:pPr>
              <w:jc w:val="center"/>
            </w:pPr>
            <w:r>
              <w:rPr>
                <w:b/>
                <w:bCs/>
                <w:sz w:val="19"/>
                <w:szCs w:val="19"/>
              </w:rPr>
              <w:t xml:space="preserve">F1 macro (mean ± SD)</w:t>
            </w:r>
          </w:p>
        </w:tc>
      </w:tr>
      <w:tr>
        <w:trPr>
          <w:cantSplit/>
        </w:trPr>
        <w:tc>
          <w:tcPr>
            <w:tcW w:type="dxa" w:w="2588"/>
            <w:tcMar>
              <w:top w:type="dxa" w:w="60"/>
              <w:left w:type="dxa" w:w="80"/>
              <w:bottom w:type="dxa" w:w="60"/>
              <w:right w:type="dxa" w:w="80"/>
            </w:tcMar>
          </w:tcPr>
          <w:p>
            <w:pPr>
              <w:jc w:val="left"/>
            </w:pPr>
            <w:r>
              <w:rPr>
                <w:b w:val="false"/>
                <w:bCs w:val="false"/>
                <w:sz w:val="19"/>
                <w:szCs w:val="19"/>
              </w:rPr>
              <w:t xml:space="preserve">GAMS-Net baseline</w:t>
            </w:r>
          </w:p>
        </w:tc>
        <w:tc>
          <w:tcPr>
            <w:tcW w:type="dxa" w:w="3385"/>
            <w:tcMar>
              <w:top w:type="dxa" w:w="60"/>
              <w:left w:type="dxa" w:w="80"/>
              <w:bottom w:type="dxa" w:w="60"/>
              <w:right w:type="dxa" w:w="80"/>
            </w:tcMar>
          </w:tcPr>
          <w:p>
            <w:pPr>
              <w:jc w:val="center"/>
            </w:pPr>
            <w:r>
              <w:rPr>
                <w:b w:val="false"/>
                <w:bCs w:val="false"/>
                <w:sz w:val="19"/>
                <w:szCs w:val="19"/>
              </w:rPr>
              <w:t xml:space="preserve">0.9621 ± 0.0168</w:t>
            </w:r>
          </w:p>
        </w:tc>
        <w:tc>
          <w:tcPr>
            <w:tcW w:type="dxa" w:w="3385"/>
            <w:tcMar>
              <w:top w:type="dxa" w:w="60"/>
              <w:left w:type="dxa" w:w="80"/>
              <w:bottom w:type="dxa" w:w="60"/>
              <w:right w:type="dxa" w:w="80"/>
            </w:tcMar>
          </w:tcPr>
          <w:p>
            <w:pPr>
              <w:jc w:val="center"/>
            </w:pPr>
            <w:r>
              <w:rPr>
                <w:b w:val="false"/>
                <w:bCs w:val="false"/>
                <w:sz w:val="19"/>
                <w:szCs w:val="19"/>
              </w:rPr>
              <w:t xml:space="preserve">0.9556 ± 0.0152</w:t>
            </w:r>
          </w:p>
        </w:tc>
      </w:tr>
      <w:tr>
        <w:trPr>
          <w:cantSplit/>
        </w:trPr>
        <w:tc>
          <w:tcPr>
            <w:tcW w:type="dxa" w:w="2588"/>
            <w:tcMar>
              <w:top w:type="dxa" w:w="60"/>
              <w:left w:type="dxa" w:w="80"/>
              <w:bottom w:type="dxa" w:w="60"/>
              <w:right w:type="dxa" w:w="80"/>
            </w:tcMar>
          </w:tcPr>
          <w:p>
            <w:pPr>
              <w:jc w:val="left"/>
            </w:pPr>
            <w:r>
              <w:rPr>
                <w:b w:val="false"/>
                <w:bCs w:val="false"/>
                <w:sz w:val="19"/>
                <w:szCs w:val="19"/>
              </w:rPr>
              <w:t xml:space="preserve">KD-GAMS-Net</w:t>
            </w:r>
          </w:p>
        </w:tc>
        <w:tc>
          <w:tcPr>
            <w:tcW w:type="dxa" w:w="3385"/>
            <w:tcMar>
              <w:top w:type="dxa" w:w="60"/>
              <w:left w:type="dxa" w:w="80"/>
              <w:bottom w:type="dxa" w:w="60"/>
              <w:right w:type="dxa" w:w="80"/>
            </w:tcMar>
          </w:tcPr>
          <w:p>
            <w:pPr>
              <w:jc w:val="center"/>
            </w:pPr>
            <w:r>
              <w:rPr>
                <w:b w:val="false"/>
                <w:bCs w:val="false"/>
                <w:sz w:val="19"/>
                <w:szCs w:val="19"/>
              </w:rPr>
              <w:t xml:space="preserve">0.9670 ± 0.0043</w:t>
            </w:r>
          </w:p>
        </w:tc>
        <w:tc>
          <w:tcPr>
            <w:tcW w:type="dxa" w:w="3385"/>
            <w:tcMar>
              <w:top w:type="dxa" w:w="60"/>
              <w:left w:type="dxa" w:w="80"/>
              <w:bottom w:type="dxa" w:w="60"/>
              <w:right w:type="dxa" w:w="80"/>
            </w:tcMar>
          </w:tcPr>
          <w:p>
            <w:pPr>
              <w:jc w:val="center"/>
            </w:pPr>
            <w:r>
              <w:rPr>
                <w:b w:val="false"/>
                <w:bCs w:val="false"/>
                <w:sz w:val="19"/>
                <w:szCs w:val="19"/>
              </w:rPr>
              <w:t xml:space="preserve">0.9579 ± 0.0075</w:t>
            </w:r>
          </w:p>
        </w:tc>
      </w:tr>
      <w:tr>
        <w:trPr>
          <w:cantSplit/>
        </w:trPr>
        <w:tc>
          <w:tcPr>
            <w:tcW w:type="dxa" w:w="2588"/>
            <w:tcMar>
              <w:top w:type="dxa" w:w="60"/>
              <w:left w:type="dxa" w:w="80"/>
              <w:bottom w:type="dxa" w:w="60"/>
              <w:right w:type="dxa" w:w="80"/>
            </w:tcMar>
          </w:tcPr>
          <w:p>
            <w:pPr>
              <w:jc w:val="left"/>
            </w:pPr>
            <w:r>
              <w:rPr>
                <w:b w:val="false"/>
                <w:bCs w:val="false"/>
                <w:sz w:val="19"/>
                <w:szCs w:val="19"/>
              </w:rPr>
              <w:t xml:space="preserve">MobileNetV2</w:t>
            </w:r>
          </w:p>
        </w:tc>
        <w:tc>
          <w:tcPr>
            <w:tcW w:type="dxa" w:w="3385"/>
            <w:tcMar>
              <w:top w:type="dxa" w:w="60"/>
              <w:left w:type="dxa" w:w="80"/>
              <w:bottom w:type="dxa" w:w="60"/>
              <w:right w:type="dxa" w:w="80"/>
            </w:tcMar>
          </w:tcPr>
          <w:p>
            <w:pPr>
              <w:jc w:val="center"/>
            </w:pPr>
            <w:r>
              <w:rPr>
                <w:b w:val="false"/>
                <w:bCs w:val="false"/>
                <w:sz w:val="19"/>
                <w:szCs w:val="19"/>
              </w:rPr>
              <w:t xml:space="preserve">0.9796 ± 0.0075</w:t>
            </w:r>
          </w:p>
        </w:tc>
        <w:tc>
          <w:tcPr>
            <w:tcW w:type="dxa" w:w="3385"/>
            <w:tcMar>
              <w:top w:type="dxa" w:w="60"/>
              <w:left w:type="dxa" w:w="80"/>
              <w:bottom w:type="dxa" w:w="60"/>
              <w:right w:type="dxa" w:w="80"/>
            </w:tcMar>
          </w:tcPr>
          <w:p>
            <w:pPr>
              <w:jc w:val="center"/>
            </w:pPr>
            <w:r>
              <w:rPr>
                <w:b w:val="false"/>
                <w:bCs w:val="false"/>
                <w:sz w:val="19"/>
                <w:szCs w:val="19"/>
              </w:rPr>
              <w:t xml:space="preserve">0.9807 ± 0.0052</w:t>
            </w:r>
          </w:p>
        </w:tc>
      </w:tr>
      <w:tr>
        <w:trPr>
          <w:cantSplit/>
        </w:trPr>
        <w:tc>
          <w:tcPr>
            <w:tcW w:type="dxa" w:w="2588"/>
            <w:tcMar>
              <w:top w:type="dxa" w:w="60"/>
              <w:left w:type="dxa" w:w="80"/>
              <w:bottom w:type="dxa" w:w="60"/>
              <w:right w:type="dxa" w:w="80"/>
            </w:tcMar>
          </w:tcPr>
          <w:p>
            <w:pPr>
              <w:jc w:val="left"/>
            </w:pPr>
            <w:r>
              <w:rPr>
                <w:b w:val="false"/>
                <w:bCs w:val="false"/>
                <w:sz w:val="19"/>
                <w:szCs w:val="19"/>
              </w:rPr>
              <w:t xml:space="preserve">EfficientNet-B0</w:t>
            </w:r>
          </w:p>
        </w:tc>
        <w:tc>
          <w:tcPr>
            <w:tcW w:type="dxa" w:w="3385"/>
            <w:tcMar>
              <w:top w:type="dxa" w:w="60"/>
              <w:left w:type="dxa" w:w="80"/>
              <w:bottom w:type="dxa" w:w="60"/>
              <w:right w:type="dxa" w:w="80"/>
            </w:tcMar>
          </w:tcPr>
          <w:p>
            <w:pPr>
              <w:jc w:val="center"/>
            </w:pPr>
            <w:r>
              <w:rPr>
                <w:b w:val="false"/>
                <w:bCs w:val="false"/>
                <w:sz w:val="19"/>
                <w:szCs w:val="19"/>
              </w:rPr>
              <w:t xml:space="preserve">0.9756 ± 0.0026</w:t>
            </w:r>
          </w:p>
        </w:tc>
        <w:tc>
          <w:tcPr>
            <w:tcW w:type="dxa" w:w="3385"/>
            <w:tcMar>
              <w:top w:type="dxa" w:w="60"/>
              <w:left w:type="dxa" w:w="80"/>
              <w:bottom w:type="dxa" w:w="60"/>
              <w:right w:type="dxa" w:w="80"/>
            </w:tcMar>
          </w:tcPr>
          <w:p>
            <w:pPr>
              <w:jc w:val="center"/>
            </w:pPr>
            <w:r>
              <w:rPr>
                <w:b w:val="false"/>
                <w:bCs w:val="false"/>
                <w:sz w:val="19"/>
                <w:szCs w:val="19"/>
              </w:rPr>
              <w:t xml:space="preserve">0.9735 ± 0.0063</w:t>
            </w:r>
          </w:p>
        </w:tc>
      </w:tr>
    </w:tbl>
    <w:p>
      <w:pPr>
        <w:spacing w:after="160"/>
        <w:jc w:val="both"/>
      </w:pPr>
      <w:r>
        <w:rPr>
          <w:sz w:val="22"/>
          <w:szCs w:val="22"/>
        </w:rPr>
        <w:t xml:space="preserve"/>
      </w:r>
    </w:p>
    <w:p>
      <w:pPr>
        <w:pStyle w:val="Heading2"/>
        <w:spacing w:after="120" w:before="240"/>
      </w:pPr>
      <w:r>
        <w:t xml:space="preserve">4.4 Statistical significance</w:t>
      </w:r>
    </w:p>
    <w:p>
      <w:pPr>
        <w:spacing w:after="160"/>
        <w:jc w:val="both"/>
      </w:pPr>
      <w:r>
        <w:rPr>
          <w:sz w:val="22"/>
          <w:szCs w:val="22"/>
        </w:rPr>
        <w:t xml:space="preserve">Table 5 reports the genuine, paired, per-sample McNemar's test at seed 42 — made possible in this pipeline by caching every model's predictions immediately after evaluation, fixing the companion study's inability to compute this test. Of six comparisons, only KD-GAMS-Net vs. its own w/o-KD ablation reached significance (p = 0.045): removing distillation costs 1.47 accuracy points on this 819-sample test set, a difference McNemar's test can detect at this sample size. The headline comparisons against the GAMS-Net baseline and both pretrained teachers were not significant at a single seed, consistent with their small (0.12–0.36-point) accuracy differences.</w:t>
      </w:r>
    </w:p>
    <w:p>
      <w:pPr>
        <w:spacing w:after="240"/>
        <w:jc w:val="center"/>
      </w:pPr>
      <w:r>
        <w:rPr>
          <w:i/>
          <w:iCs/>
          <w:sz w:val="20"/>
          <w:szCs w:val="20"/>
        </w:rPr>
        <w:t xml:space="preserve">Table 5. McNemar's test (real, paired, per-sample), KD-GAMS-Net vs. each comparator, seed 42, n = 819.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3000"/>
            <w:shd w:fill="D9E2F3" w:val="clear"/>
            <w:tcMar>
              <w:top w:type="dxa" w:w="60"/>
              <w:left w:type="dxa" w:w="80"/>
              <w:bottom w:type="dxa" w:w="60"/>
              <w:right w:type="dxa" w:w="80"/>
            </w:tcMar>
          </w:tcPr>
          <w:p>
            <w:pPr>
              <w:jc w:val="center"/>
            </w:pPr>
            <w:r>
              <w:rPr>
                <w:b/>
                <w:bCs/>
                <w:sz w:val="19"/>
                <w:szCs w:val="19"/>
              </w:rPr>
              <w:t xml:space="preserve">Comparison</w:t>
            </w:r>
          </w:p>
        </w:tc>
        <w:tc>
          <w:tcPr>
            <w:tcW w:type="dxa" w:w="1200"/>
            <w:shd w:fill="D9E2F3" w:val="clear"/>
            <w:tcMar>
              <w:top w:type="dxa" w:w="60"/>
              <w:left w:type="dxa" w:w="80"/>
              <w:bottom w:type="dxa" w:w="60"/>
              <w:right w:type="dxa" w:w="80"/>
            </w:tcMar>
          </w:tcPr>
          <w:p>
            <w:pPr>
              <w:jc w:val="center"/>
            </w:pPr>
            <w:r>
              <w:rPr>
                <w:b/>
                <w:bCs/>
                <w:sz w:val="19"/>
                <w:szCs w:val="19"/>
              </w:rPr>
              <w:t xml:space="preserve">Acc. A</w:t>
            </w:r>
          </w:p>
        </w:tc>
        <w:tc>
          <w:tcPr>
            <w:tcW w:type="dxa" w:w="1200"/>
            <w:shd w:fill="D9E2F3" w:val="clear"/>
            <w:tcMar>
              <w:top w:type="dxa" w:w="60"/>
              <w:left w:type="dxa" w:w="80"/>
              <w:bottom w:type="dxa" w:w="60"/>
              <w:right w:type="dxa" w:w="80"/>
            </w:tcMar>
          </w:tcPr>
          <w:p>
            <w:pPr>
              <w:jc w:val="center"/>
            </w:pPr>
            <w:r>
              <w:rPr>
                <w:b/>
                <w:bCs/>
                <w:sz w:val="19"/>
                <w:szCs w:val="19"/>
              </w:rPr>
              <w:t xml:space="preserve">Acc. B</w:t>
            </w:r>
          </w:p>
        </w:tc>
        <w:tc>
          <w:tcPr>
            <w:tcW w:type="dxa" w:w="1300"/>
            <w:shd w:fill="D9E2F3" w:val="clear"/>
            <w:tcMar>
              <w:top w:type="dxa" w:w="60"/>
              <w:left w:type="dxa" w:w="80"/>
              <w:bottom w:type="dxa" w:w="60"/>
              <w:right w:type="dxa" w:w="80"/>
            </w:tcMar>
          </w:tcPr>
          <w:p>
            <w:pPr>
              <w:jc w:val="center"/>
            </w:pPr>
            <w:r>
              <w:rPr>
                <w:b/>
                <w:bCs/>
                <w:sz w:val="19"/>
                <w:szCs w:val="19"/>
              </w:rPr>
              <w:t xml:space="preserve">Statistic</w:t>
            </w:r>
          </w:p>
        </w:tc>
        <w:tc>
          <w:tcPr>
            <w:tcW w:type="dxa" w:w="1300"/>
            <w:shd w:fill="D9E2F3" w:val="clear"/>
            <w:tcMar>
              <w:top w:type="dxa" w:w="60"/>
              <w:left w:type="dxa" w:w="80"/>
              <w:bottom w:type="dxa" w:w="60"/>
              <w:right w:type="dxa" w:w="80"/>
            </w:tcMar>
          </w:tcPr>
          <w:p>
            <w:pPr>
              <w:jc w:val="center"/>
            </w:pPr>
            <w:r>
              <w:rPr>
                <w:b/>
                <w:bCs/>
                <w:sz w:val="19"/>
                <w:szCs w:val="19"/>
              </w:rPr>
              <w:t xml:space="preserve">p-value</w:t>
            </w:r>
          </w:p>
        </w:tc>
        <w:tc>
          <w:tcPr>
            <w:tcW w:type="dxa" w:w="1360"/>
            <w:shd w:fill="D9E2F3" w:val="clear"/>
            <w:tcMar>
              <w:top w:type="dxa" w:w="60"/>
              <w:left w:type="dxa" w:w="80"/>
              <w:bottom w:type="dxa" w:w="60"/>
              <w:right w:type="dxa" w:w="80"/>
            </w:tcMar>
          </w:tcPr>
          <w:p>
            <w:pPr>
              <w:jc w:val="center"/>
            </w:pPr>
            <w:r>
              <w:rPr>
                <w:b/>
                <w:bCs/>
                <w:sz w:val="19"/>
                <w:szCs w:val="19"/>
              </w:rPr>
              <w:t xml:space="preserve">Sig. at 0.05</w:t>
            </w:r>
          </w:p>
        </w:tc>
      </w:tr>
      <w:tr>
        <w:trPr>
          <w:cantSplit/>
        </w:trPr>
        <w:tc>
          <w:tcPr>
            <w:tcW w:type="dxa" w:w="3000"/>
            <w:tcMar>
              <w:top w:type="dxa" w:w="60"/>
              <w:left w:type="dxa" w:w="80"/>
              <w:bottom w:type="dxa" w:w="60"/>
              <w:right w:type="dxa" w:w="80"/>
            </w:tcMar>
          </w:tcPr>
          <w:p>
            <w:pPr>
              <w:jc w:val="left"/>
            </w:pPr>
            <w:r>
              <w:rPr>
                <w:b w:val="false"/>
                <w:bCs w:val="false"/>
                <w:sz w:val="19"/>
                <w:szCs w:val="19"/>
              </w:rPr>
              <w:t xml:space="preserve">vs. GAMS-Net baseline</w:t>
            </w:r>
          </w:p>
        </w:tc>
        <w:tc>
          <w:tcPr>
            <w:tcW w:type="dxa" w:w="1200"/>
            <w:tcMar>
              <w:top w:type="dxa" w:w="60"/>
              <w:left w:type="dxa" w:w="80"/>
              <w:bottom w:type="dxa" w:w="60"/>
              <w:right w:type="dxa" w:w="80"/>
            </w:tcMar>
          </w:tcPr>
          <w:p>
            <w:pPr>
              <w:jc w:val="center"/>
            </w:pPr>
            <w:r>
              <w:rPr>
                <w:b w:val="false"/>
                <w:bCs w:val="false"/>
                <w:sz w:val="19"/>
                <w:szCs w:val="19"/>
              </w:rPr>
              <w:t xml:space="preserve">0.9731</w:t>
            </w:r>
          </w:p>
        </w:tc>
        <w:tc>
          <w:tcPr>
            <w:tcW w:type="dxa" w:w="1200"/>
            <w:tcMar>
              <w:top w:type="dxa" w:w="60"/>
              <w:left w:type="dxa" w:w="80"/>
              <w:bottom w:type="dxa" w:w="60"/>
              <w:right w:type="dxa" w:w="80"/>
            </w:tcMar>
          </w:tcPr>
          <w:p>
            <w:pPr>
              <w:jc w:val="center"/>
            </w:pPr>
            <w:r>
              <w:rPr>
                <w:b w:val="false"/>
                <w:bCs w:val="false"/>
                <w:sz w:val="19"/>
                <w:szCs w:val="19"/>
              </w:rPr>
              <w:t xml:space="preserve">0.9695</w:t>
            </w:r>
          </w:p>
        </w:tc>
        <w:tc>
          <w:tcPr>
            <w:tcW w:type="dxa" w:w="1300"/>
            <w:tcMar>
              <w:top w:type="dxa" w:w="60"/>
              <w:left w:type="dxa" w:w="80"/>
              <w:bottom w:type="dxa" w:w="60"/>
              <w:right w:type="dxa" w:w="80"/>
            </w:tcMar>
          </w:tcPr>
          <w:p>
            <w:pPr>
              <w:jc w:val="center"/>
            </w:pPr>
            <w:r>
              <w:rPr>
                <w:b w:val="false"/>
                <w:bCs w:val="false"/>
                <w:sz w:val="19"/>
                <w:szCs w:val="19"/>
              </w:rPr>
              <w:t xml:space="preserve">8.0</w:t>
            </w:r>
          </w:p>
        </w:tc>
        <w:tc>
          <w:tcPr>
            <w:tcW w:type="dxa" w:w="1300"/>
            <w:tcMar>
              <w:top w:type="dxa" w:w="60"/>
              <w:left w:type="dxa" w:w="80"/>
              <w:bottom w:type="dxa" w:w="60"/>
              <w:right w:type="dxa" w:w="80"/>
            </w:tcMar>
          </w:tcPr>
          <w:p>
            <w:pPr>
              <w:jc w:val="center"/>
            </w:pPr>
            <w:r>
              <w:rPr>
                <w:b w:val="false"/>
                <w:bCs w:val="false"/>
                <w:sz w:val="19"/>
                <w:szCs w:val="19"/>
              </w:rPr>
              <w:t xml:space="preserve">0.6476</w:t>
            </w:r>
          </w:p>
        </w:tc>
        <w:tc>
          <w:tcPr>
            <w:tcW w:type="dxa" w:w="1360"/>
            <w:tcMar>
              <w:top w:type="dxa" w:w="60"/>
              <w:left w:type="dxa" w:w="80"/>
              <w:bottom w:type="dxa" w:w="60"/>
              <w:right w:type="dxa" w:w="80"/>
            </w:tcMar>
          </w:tcPr>
          <w:p>
            <w:pPr>
              <w:jc w:val="center"/>
            </w:pPr>
            <w:r>
              <w:rPr>
                <w:b w:val="false"/>
                <w:bCs w:val="false"/>
                <w:sz w:val="19"/>
                <w:szCs w:val="19"/>
              </w:rPr>
              <w:t xml:space="preserve">No</w:t>
            </w:r>
          </w:p>
        </w:tc>
      </w:tr>
      <w:tr>
        <w:trPr>
          <w:cantSplit/>
        </w:trPr>
        <w:tc>
          <w:tcPr>
            <w:tcW w:type="dxa" w:w="3000"/>
            <w:tcMar>
              <w:top w:type="dxa" w:w="60"/>
              <w:left w:type="dxa" w:w="80"/>
              <w:bottom w:type="dxa" w:w="60"/>
              <w:right w:type="dxa" w:w="80"/>
            </w:tcMar>
          </w:tcPr>
          <w:p>
            <w:pPr>
              <w:jc w:val="left"/>
            </w:pPr>
            <w:r>
              <w:rPr>
                <w:b w:val="false"/>
                <w:bCs w:val="false"/>
                <w:sz w:val="19"/>
                <w:szCs w:val="19"/>
              </w:rPr>
              <w:t xml:space="preserve">vs. MobileNetV2</w:t>
            </w:r>
          </w:p>
        </w:tc>
        <w:tc>
          <w:tcPr>
            <w:tcW w:type="dxa" w:w="1200"/>
            <w:tcMar>
              <w:top w:type="dxa" w:w="60"/>
              <w:left w:type="dxa" w:w="80"/>
              <w:bottom w:type="dxa" w:w="60"/>
              <w:right w:type="dxa" w:w="80"/>
            </w:tcMar>
          </w:tcPr>
          <w:p>
            <w:pPr>
              <w:jc w:val="center"/>
            </w:pPr>
            <w:r>
              <w:rPr>
                <w:b w:val="false"/>
                <w:bCs w:val="false"/>
                <w:sz w:val="19"/>
                <w:szCs w:val="19"/>
              </w:rPr>
              <w:t xml:space="preserve">0.9731</w:t>
            </w:r>
          </w:p>
        </w:tc>
        <w:tc>
          <w:tcPr>
            <w:tcW w:type="dxa" w:w="1200"/>
            <w:tcMar>
              <w:top w:type="dxa" w:w="60"/>
              <w:left w:type="dxa" w:w="80"/>
              <w:bottom w:type="dxa" w:w="60"/>
              <w:right w:type="dxa" w:w="80"/>
            </w:tcMar>
          </w:tcPr>
          <w:p>
            <w:pPr>
              <w:jc w:val="center"/>
            </w:pPr>
            <w:r>
              <w:rPr>
                <w:b w:val="false"/>
                <w:bCs w:val="false"/>
                <w:sz w:val="19"/>
                <w:szCs w:val="19"/>
              </w:rPr>
              <w:t xml:space="preserve">0.9756</w:t>
            </w:r>
          </w:p>
        </w:tc>
        <w:tc>
          <w:tcPr>
            <w:tcW w:type="dxa" w:w="1300"/>
            <w:tcMar>
              <w:top w:type="dxa" w:w="60"/>
              <w:left w:type="dxa" w:w="80"/>
              <w:bottom w:type="dxa" w:w="60"/>
              <w:right w:type="dxa" w:w="80"/>
            </w:tcMar>
          </w:tcPr>
          <w:p>
            <w:pPr>
              <w:jc w:val="center"/>
            </w:pPr>
            <w:r>
              <w:rPr>
                <w:b w:val="false"/>
                <w:bCs w:val="false"/>
                <w:sz w:val="19"/>
                <w:szCs w:val="19"/>
              </w:rPr>
              <w:t xml:space="preserve">11.0</w:t>
            </w:r>
          </w:p>
        </w:tc>
        <w:tc>
          <w:tcPr>
            <w:tcW w:type="dxa" w:w="1300"/>
            <w:tcMar>
              <w:top w:type="dxa" w:w="60"/>
              <w:left w:type="dxa" w:w="80"/>
              <w:bottom w:type="dxa" w:w="60"/>
              <w:right w:type="dxa" w:w="80"/>
            </w:tcMar>
          </w:tcPr>
          <w:p>
            <w:pPr>
              <w:jc w:val="center"/>
            </w:pPr>
            <w:r>
              <w:rPr>
                <w:b w:val="false"/>
                <w:bCs w:val="false"/>
                <w:sz w:val="19"/>
                <w:szCs w:val="19"/>
              </w:rPr>
              <w:t xml:space="preserve">0.8388</w:t>
            </w:r>
          </w:p>
        </w:tc>
        <w:tc>
          <w:tcPr>
            <w:tcW w:type="dxa" w:w="1360"/>
            <w:tcMar>
              <w:top w:type="dxa" w:w="60"/>
              <w:left w:type="dxa" w:w="80"/>
              <w:bottom w:type="dxa" w:w="60"/>
              <w:right w:type="dxa" w:w="80"/>
            </w:tcMar>
          </w:tcPr>
          <w:p>
            <w:pPr>
              <w:jc w:val="center"/>
            </w:pPr>
            <w:r>
              <w:rPr>
                <w:b w:val="false"/>
                <w:bCs w:val="false"/>
                <w:sz w:val="19"/>
                <w:szCs w:val="19"/>
              </w:rPr>
              <w:t xml:space="preserve">No</w:t>
            </w:r>
          </w:p>
        </w:tc>
      </w:tr>
      <w:tr>
        <w:trPr>
          <w:cantSplit/>
        </w:trPr>
        <w:tc>
          <w:tcPr>
            <w:tcW w:type="dxa" w:w="3000"/>
            <w:tcMar>
              <w:top w:type="dxa" w:w="60"/>
              <w:left w:type="dxa" w:w="80"/>
              <w:bottom w:type="dxa" w:w="60"/>
              <w:right w:type="dxa" w:w="80"/>
            </w:tcMar>
          </w:tcPr>
          <w:p>
            <w:pPr>
              <w:jc w:val="left"/>
            </w:pPr>
            <w:r>
              <w:rPr>
                <w:b w:val="false"/>
                <w:bCs w:val="false"/>
                <w:sz w:val="19"/>
                <w:szCs w:val="19"/>
              </w:rPr>
              <w:t xml:space="preserve">vs. EfficientNet-B0</w:t>
            </w:r>
          </w:p>
        </w:tc>
        <w:tc>
          <w:tcPr>
            <w:tcW w:type="dxa" w:w="1200"/>
            <w:tcMar>
              <w:top w:type="dxa" w:w="60"/>
              <w:left w:type="dxa" w:w="80"/>
              <w:bottom w:type="dxa" w:w="60"/>
              <w:right w:type="dxa" w:w="80"/>
            </w:tcMar>
          </w:tcPr>
          <w:p>
            <w:pPr>
              <w:jc w:val="center"/>
            </w:pPr>
            <w:r>
              <w:rPr>
                <w:b w:val="false"/>
                <w:bCs w:val="false"/>
                <w:sz w:val="19"/>
                <w:szCs w:val="19"/>
              </w:rPr>
              <w:t xml:space="preserve">0.9731</w:t>
            </w:r>
          </w:p>
        </w:tc>
        <w:tc>
          <w:tcPr>
            <w:tcW w:type="dxa" w:w="1200"/>
            <w:tcMar>
              <w:top w:type="dxa" w:w="60"/>
              <w:left w:type="dxa" w:w="80"/>
              <w:bottom w:type="dxa" w:w="60"/>
              <w:right w:type="dxa" w:w="80"/>
            </w:tcMar>
          </w:tcPr>
          <w:p>
            <w:pPr>
              <w:jc w:val="center"/>
            </w:pPr>
            <w:r>
              <w:rPr>
                <w:b w:val="false"/>
                <w:bCs w:val="false"/>
                <w:sz w:val="19"/>
                <w:szCs w:val="19"/>
              </w:rPr>
              <w:t xml:space="preserve">0.9719</w:t>
            </w:r>
          </w:p>
        </w:tc>
        <w:tc>
          <w:tcPr>
            <w:tcW w:type="dxa" w:w="1300"/>
            <w:tcMar>
              <w:top w:type="dxa" w:w="60"/>
              <w:left w:type="dxa" w:w="80"/>
              <w:bottom w:type="dxa" w:w="60"/>
              <w:right w:type="dxa" w:w="80"/>
            </w:tcMar>
          </w:tcPr>
          <w:p>
            <w:pPr>
              <w:jc w:val="center"/>
            </w:pPr>
            <w:r>
              <w:rPr>
                <w:b w:val="false"/>
                <w:bCs w:val="false"/>
                <w:sz w:val="19"/>
                <w:szCs w:val="19"/>
              </w:rPr>
              <w:t xml:space="preserve">0.0</w:t>
            </w:r>
          </w:p>
        </w:tc>
        <w:tc>
          <w:tcPr>
            <w:tcW w:type="dxa" w:w="1300"/>
            <w:tcMar>
              <w:top w:type="dxa" w:w="60"/>
              <w:left w:type="dxa" w:w="80"/>
              <w:bottom w:type="dxa" w:w="60"/>
              <w:right w:type="dxa" w:w="80"/>
            </w:tcMar>
          </w:tcPr>
          <w:p>
            <w:pPr>
              <w:jc w:val="center"/>
            </w:pPr>
            <w:r>
              <w:rPr>
                <w:b w:val="false"/>
                <w:bCs w:val="false"/>
                <w:sz w:val="19"/>
                <w:szCs w:val="19"/>
              </w:rPr>
              <w:t xml:space="preserve">1.0000</w:t>
            </w:r>
          </w:p>
        </w:tc>
        <w:tc>
          <w:tcPr>
            <w:tcW w:type="dxa" w:w="1360"/>
            <w:tcMar>
              <w:top w:type="dxa" w:w="60"/>
              <w:left w:type="dxa" w:w="80"/>
              <w:bottom w:type="dxa" w:w="60"/>
              <w:right w:type="dxa" w:w="80"/>
            </w:tcMar>
          </w:tcPr>
          <w:p>
            <w:pPr>
              <w:jc w:val="center"/>
            </w:pPr>
            <w:r>
              <w:rPr>
                <w:b w:val="false"/>
                <w:bCs w:val="false"/>
                <w:sz w:val="19"/>
                <w:szCs w:val="19"/>
              </w:rPr>
              <w:t xml:space="preserve">No</w:t>
            </w:r>
          </w:p>
        </w:tc>
      </w:tr>
      <w:tr>
        <w:trPr>
          <w:cantSplit/>
        </w:trPr>
        <w:tc>
          <w:tcPr>
            <w:tcW w:type="dxa" w:w="3000"/>
            <w:tcMar>
              <w:top w:type="dxa" w:w="60"/>
              <w:left w:type="dxa" w:w="80"/>
              <w:bottom w:type="dxa" w:w="60"/>
              <w:right w:type="dxa" w:w="80"/>
            </w:tcMar>
          </w:tcPr>
          <w:p>
            <w:pPr>
              <w:jc w:val="left"/>
            </w:pPr>
            <w:r>
              <w:rPr>
                <w:b w:val="false"/>
                <w:bCs w:val="false"/>
                <w:sz w:val="19"/>
                <w:szCs w:val="19"/>
              </w:rPr>
              <w:t xml:space="preserve">vs. w/o KD (ablation)</w:t>
            </w:r>
          </w:p>
        </w:tc>
        <w:tc>
          <w:tcPr>
            <w:tcW w:type="dxa" w:w="1200"/>
            <w:tcMar>
              <w:top w:type="dxa" w:w="60"/>
              <w:left w:type="dxa" w:w="80"/>
              <w:bottom w:type="dxa" w:w="60"/>
              <w:right w:type="dxa" w:w="80"/>
            </w:tcMar>
          </w:tcPr>
          <w:p>
            <w:pPr>
              <w:jc w:val="center"/>
            </w:pPr>
            <w:r>
              <w:rPr>
                <w:b w:val="false"/>
                <w:bCs w:val="false"/>
                <w:sz w:val="19"/>
                <w:szCs w:val="19"/>
              </w:rPr>
              <w:t xml:space="preserve">0.9731</w:t>
            </w:r>
          </w:p>
        </w:tc>
        <w:tc>
          <w:tcPr>
            <w:tcW w:type="dxa" w:w="1200"/>
            <w:tcMar>
              <w:top w:type="dxa" w:w="60"/>
              <w:left w:type="dxa" w:w="80"/>
              <w:bottom w:type="dxa" w:w="60"/>
              <w:right w:type="dxa" w:w="80"/>
            </w:tcMar>
          </w:tcPr>
          <w:p>
            <w:pPr>
              <w:jc w:val="center"/>
            </w:pPr>
            <w:r>
              <w:rPr>
                <w:b w:val="false"/>
                <w:bCs w:val="false"/>
                <w:sz w:val="19"/>
                <w:szCs w:val="19"/>
              </w:rPr>
              <w:t xml:space="preserve">0.9585</w:t>
            </w:r>
          </w:p>
        </w:tc>
        <w:tc>
          <w:tcPr>
            <w:tcW w:type="dxa" w:w="1300"/>
            <w:tcMar>
              <w:top w:type="dxa" w:w="60"/>
              <w:left w:type="dxa" w:w="80"/>
              <w:bottom w:type="dxa" w:w="60"/>
              <w:right w:type="dxa" w:w="80"/>
            </w:tcMar>
          </w:tcPr>
          <w:p>
            <w:pPr>
              <w:jc w:val="center"/>
            </w:pPr>
            <w:r>
              <w:rPr>
                <w:b w:val="false"/>
                <w:bCs w:val="false"/>
                <w:sz w:val="19"/>
                <w:szCs w:val="19"/>
              </w:rPr>
              <w:t xml:space="preserve">4.033</w:t>
            </w:r>
          </w:p>
        </w:tc>
        <w:tc>
          <w:tcPr>
            <w:tcW w:type="dxa" w:w="1300"/>
            <w:tcMar>
              <w:top w:type="dxa" w:w="60"/>
              <w:left w:type="dxa" w:w="80"/>
              <w:bottom w:type="dxa" w:w="60"/>
              <w:right w:type="dxa" w:w="80"/>
            </w:tcMar>
          </w:tcPr>
          <w:p>
            <w:pPr>
              <w:jc w:val="center"/>
            </w:pPr>
            <w:r>
              <w:rPr>
                <w:b w:val="false"/>
                <w:bCs w:val="false"/>
                <w:sz w:val="19"/>
                <w:szCs w:val="19"/>
              </w:rPr>
              <w:t xml:space="preserve">0.0446</w:t>
            </w:r>
          </w:p>
        </w:tc>
        <w:tc>
          <w:tcPr>
            <w:tcW w:type="dxa" w:w="1360"/>
            <w:tcMar>
              <w:top w:type="dxa" w:w="60"/>
              <w:left w:type="dxa" w:w="80"/>
              <w:bottom w:type="dxa" w:w="60"/>
              <w:right w:type="dxa" w:w="80"/>
            </w:tcMar>
          </w:tcPr>
          <w:p>
            <w:pPr>
              <w:jc w:val="center"/>
            </w:pPr>
            <w:r>
              <w:rPr>
                <w:b w:val="false"/>
                <w:bCs w:val="false"/>
                <w:sz w:val="19"/>
                <w:szCs w:val="19"/>
              </w:rPr>
              <w:t xml:space="preserve">Yes</w:t>
            </w:r>
          </w:p>
        </w:tc>
      </w:tr>
      <w:tr>
        <w:trPr>
          <w:cantSplit/>
        </w:trPr>
        <w:tc>
          <w:tcPr>
            <w:tcW w:type="dxa" w:w="3000"/>
            <w:tcMar>
              <w:top w:type="dxa" w:w="60"/>
              <w:left w:type="dxa" w:w="80"/>
              <w:bottom w:type="dxa" w:w="60"/>
              <w:right w:type="dxa" w:w="80"/>
            </w:tcMar>
          </w:tcPr>
          <w:p>
            <w:pPr>
              <w:jc w:val="left"/>
            </w:pPr>
            <w:r>
              <w:rPr>
                <w:b w:val="false"/>
                <w:bCs w:val="false"/>
                <w:sz w:val="19"/>
                <w:szCs w:val="19"/>
              </w:rPr>
              <w:t xml:space="preserve">vs. w/o double-MSDF (ablation)</w:t>
            </w:r>
          </w:p>
        </w:tc>
        <w:tc>
          <w:tcPr>
            <w:tcW w:type="dxa" w:w="1200"/>
            <w:tcMar>
              <w:top w:type="dxa" w:w="60"/>
              <w:left w:type="dxa" w:w="80"/>
              <w:bottom w:type="dxa" w:w="60"/>
              <w:right w:type="dxa" w:w="80"/>
            </w:tcMar>
          </w:tcPr>
          <w:p>
            <w:pPr>
              <w:jc w:val="center"/>
            </w:pPr>
            <w:r>
              <w:rPr>
                <w:b w:val="false"/>
                <w:bCs w:val="false"/>
                <w:sz w:val="19"/>
                <w:szCs w:val="19"/>
              </w:rPr>
              <w:t xml:space="preserve">0.9731</w:t>
            </w:r>
          </w:p>
        </w:tc>
        <w:tc>
          <w:tcPr>
            <w:tcW w:type="dxa" w:w="1200"/>
            <w:tcMar>
              <w:top w:type="dxa" w:w="60"/>
              <w:left w:type="dxa" w:w="80"/>
              <w:bottom w:type="dxa" w:w="60"/>
              <w:right w:type="dxa" w:w="80"/>
            </w:tcMar>
          </w:tcPr>
          <w:p>
            <w:pPr>
              <w:jc w:val="center"/>
            </w:pPr>
            <w:r>
              <w:rPr>
                <w:b w:val="false"/>
                <w:bCs w:val="false"/>
                <w:sz w:val="19"/>
                <w:szCs w:val="19"/>
              </w:rPr>
              <w:t xml:space="preserve">0.9670</w:t>
            </w:r>
          </w:p>
        </w:tc>
        <w:tc>
          <w:tcPr>
            <w:tcW w:type="dxa" w:w="1300"/>
            <w:tcMar>
              <w:top w:type="dxa" w:w="60"/>
              <w:left w:type="dxa" w:w="80"/>
              <w:bottom w:type="dxa" w:w="60"/>
              <w:right w:type="dxa" w:w="80"/>
            </w:tcMar>
          </w:tcPr>
          <w:p>
            <w:pPr>
              <w:jc w:val="center"/>
            </w:pPr>
            <w:r>
              <w:rPr>
                <w:b w:val="false"/>
                <w:bCs w:val="false"/>
                <w:sz w:val="19"/>
                <w:szCs w:val="19"/>
              </w:rPr>
              <w:t xml:space="preserve">0.64</w:t>
            </w:r>
          </w:p>
        </w:tc>
        <w:tc>
          <w:tcPr>
            <w:tcW w:type="dxa" w:w="1300"/>
            <w:tcMar>
              <w:top w:type="dxa" w:w="60"/>
              <w:left w:type="dxa" w:w="80"/>
              <w:bottom w:type="dxa" w:w="60"/>
              <w:right w:type="dxa" w:w="80"/>
            </w:tcMar>
          </w:tcPr>
          <w:p>
            <w:pPr>
              <w:jc w:val="center"/>
            </w:pPr>
            <w:r>
              <w:rPr>
                <w:b w:val="false"/>
                <w:bCs w:val="false"/>
                <w:sz w:val="19"/>
                <w:szCs w:val="19"/>
              </w:rPr>
              <w:t xml:space="preserve">0.4237</w:t>
            </w:r>
          </w:p>
        </w:tc>
        <w:tc>
          <w:tcPr>
            <w:tcW w:type="dxa" w:w="1360"/>
            <w:tcMar>
              <w:top w:type="dxa" w:w="60"/>
              <w:left w:type="dxa" w:w="80"/>
              <w:bottom w:type="dxa" w:w="60"/>
              <w:right w:type="dxa" w:w="80"/>
            </w:tcMar>
          </w:tcPr>
          <w:p>
            <w:pPr>
              <w:jc w:val="center"/>
            </w:pPr>
            <w:r>
              <w:rPr>
                <w:b w:val="false"/>
                <w:bCs w:val="false"/>
                <w:sz w:val="19"/>
                <w:szCs w:val="19"/>
              </w:rPr>
              <w:t xml:space="preserve">No</w:t>
            </w:r>
          </w:p>
        </w:tc>
      </w:tr>
      <w:tr>
        <w:trPr>
          <w:cantSplit/>
        </w:trPr>
        <w:tc>
          <w:tcPr>
            <w:tcW w:type="dxa" w:w="3000"/>
            <w:tcMar>
              <w:top w:type="dxa" w:w="60"/>
              <w:left w:type="dxa" w:w="80"/>
              <w:bottom w:type="dxa" w:w="60"/>
              <w:right w:type="dxa" w:w="80"/>
            </w:tcMar>
          </w:tcPr>
          <w:p>
            <w:pPr>
              <w:jc w:val="left"/>
            </w:pPr>
            <w:r>
              <w:rPr>
                <w:b w:val="false"/>
                <w:bCs w:val="false"/>
                <w:sz w:val="19"/>
                <w:szCs w:val="19"/>
              </w:rPr>
              <w:t xml:space="preserve">vs. w/o spatial attn (ablation)</w:t>
            </w:r>
          </w:p>
        </w:tc>
        <w:tc>
          <w:tcPr>
            <w:tcW w:type="dxa" w:w="1200"/>
            <w:tcMar>
              <w:top w:type="dxa" w:w="60"/>
              <w:left w:type="dxa" w:w="80"/>
              <w:bottom w:type="dxa" w:w="60"/>
              <w:right w:type="dxa" w:w="80"/>
            </w:tcMar>
          </w:tcPr>
          <w:p>
            <w:pPr>
              <w:jc w:val="center"/>
            </w:pPr>
            <w:r>
              <w:rPr>
                <w:b w:val="false"/>
                <w:bCs w:val="false"/>
                <w:sz w:val="19"/>
                <w:szCs w:val="19"/>
              </w:rPr>
              <w:t xml:space="preserve">0.9731</w:t>
            </w:r>
          </w:p>
        </w:tc>
        <w:tc>
          <w:tcPr>
            <w:tcW w:type="dxa" w:w="1200"/>
            <w:tcMar>
              <w:top w:type="dxa" w:w="60"/>
              <w:left w:type="dxa" w:w="80"/>
              <w:bottom w:type="dxa" w:w="60"/>
              <w:right w:type="dxa" w:w="80"/>
            </w:tcMar>
          </w:tcPr>
          <w:p>
            <w:pPr>
              <w:jc w:val="center"/>
            </w:pPr>
            <w:r>
              <w:rPr>
                <w:b w:val="false"/>
                <w:bCs w:val="false"/>
                <w:sz w:val="19"/>
                <w:szCs w:val="19"/>
              </w:rPr>
              <w:t xml:space="preserve">0.9683</w:t>
            </w:r>
          </w:p>
        </w:tc>
        <w:tc>
          <w:tcPr>
            <w:tcW w:type="dxa" w:w="1300"/>
            <w:tcMar>
              <w:top w:type="dxa" w:w="60"/>
              <w:left w:type="dxa" w:w="80"/>
              <w:bottom w:type="dxa" w:w="60"/>
              <w:right w:type="dxa" w:w="80"/>
            </w:tcMar>
          </w:tcPr>
          <w:p>
            <w:pPr>
              <w:jc w:val="center"/>
            </w:pPr>
            <w:r>
              <w:rPr>
                <w:b w:val="false"/>
                <w:bCs w:val="false"/>
                <w:sz w:val="19"/>
                <w:szCs w:val="19"/>
              </w:rPr>
              <w:t xml:space="preserve">9.0</w:t>
            </w:r>
          </w:p>
        </w:tc>
        <w:tc>
          <w:tcPr>
            <w:tcW w:type="dxa" w:w="1300"/>
            <w:tcMar>
              <w:top w:type="dxa" w:w="60"/>
              <w:left w:type="dxa" w:w="80"/>
              <w:bottom w:type="dxa" w:w="60"/>
              <w:right w:type="dxa" w:w="80"/>
            </w:tcMar>
          </w:tcPr>
          <w:p>
            <w:pPr>
              <w:jc w:val="center"/>
            </w:pPr>
            <w:r>
              <w:rPr>
                <w:b w:val="false"/>
                <w:bCs w:val="false"/>
                <w:sz w:val="19"/>
                <w:szCs w:val="19"/>
              </w:rPr>
              <w:t xml:space="preserve">0.5235</w:t>
            </w:r>
          </w:p>
        </w:tc>
        <w:tc>
          <w:tcPr>
            <w:tcW w:type="dxa" w:w="1360"/>
            <w:tcMar>
              <w:top w:type="dxa" w:w="60"/>
              <w:left w:type="dxa" w:w="80"/>
              <w:bottom w:type="dxa" w:w="60"/>
              <w:right w:type="dxa" w:w="80"/>
            </w:tcMar>
          </w:tcPr>
          <w:p>
            <w:pPr>
              <w:jc w:val="center"/>
            </w:pPr>
            <w:r>
              <w:rPr>
                <w:b w:val="false"/>
                <w:bCs w:val="false"/>
                <w:sz w:val="19"/>
                <w:szCs w:val="19"/>
              </w:rPr>
              <w:t xml:space="preserve">No</w:t>
            </w:r>
          </w:p>
        </w:tc>
      </w:tr>
    </w:tbl>
    <w:p>
      <w:pPr>
        <w:spacing w:after="160"/>
        <w:jc w:val="both"/>
      </w:pPr>
      <w:r>
        <w:rPr>
          <w:sz w:val="22"/>
          <w:szCs w:val="22"/>
        </w:rPr>
        <w:t xml:space="preserve"/>
      </w:r>
    </w:p>
    <w:p>
      <w:pPr>
        <w:spacing w:after="160"/>
        <w:jc w:val="both"/>
      </w:pPr>
      <w:r>
        <w:rPr>
          <w:sz w:val="22"/>
          <w:szCs w:val="22"/>
        </w:rPr>
        <w:t xml:space="preserve">Table 6 supplements this with the seed-level Welch's t-test (n = 3 per group, from Table 4's means/SDs), for which we repeat the companion study's caveat that this is a low-power, indicative test rather than a confirmatory one. Consistent with the McNemar result, KD-GAMS-Net is not significantly different from the GAMS-Net baseline at the seed level (p = 0.669); the remaining gap to both pretrained teachers is borderline (p = 0.055–0.082).</w:t>
      </w:r>
    </w:p>
    <w:p>
      <w:pPr>
        <w:spacing w:after="240"/>
        <w:jc w:val="center"/>
      </w:pPr>
      <w:r>
        <w:rPr>
          <w:i/>
          <w:iCs/>
          <w:sz w:val="20"/>
          <w:szCs w:val="20"/>
        </w:rPr>
        <w:t xml:space="preserve">Table 6. Welch's t-test on three seed-level accuracy values, KD-GAMS-Net vs. each comparator (n = 3 per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3400"/>
            <w:shd w:fill="D9E2F3" w:val="clear"/>
            <w:tcMar>
              <w:top w:type="dxa" w:w="60"/>
              <w:left w:type="dxa" w:w="80"/>
              <w:bottom w:type="dxa" w:w="60"/>
              <w:right w:type="dxa" w:w="80"/>
            </w:tcMar>
          </w:tcPr>
          <w:p>
            <w:pPr>
              <w:jc w:val="center"/>
            </w:pPr>
            <w:r>
              <w:rPr>
                <w:b/>
                <w:bCs/>
                <w:sz w:val="19"/>
                <w:szCs w:val="19"/>
              </w:rPr>
              <w:t xml:space="preserve">Comparison</w:t>
            </w:r>
          </w:p>
        </w:tc>
        <w:tc>
          <w:tcPr>
            <w:tcW w:type="dxa" w:w="2000"/>
            <w:shd w:fill="D9E2F3" w:val="clear"/>
            <w:tcMar>
              <w:top w:type="dxa" w:w="60"/>
              <w:left w:type="dxa" w:w="80"/>
              <w:bottom w:type="dxa" w:w="60"/>
              <w:right w:type="dxa" w:w="80"/>
            </w:tcMar>
          </w:tcPr>
          <w:p>
            <w:pPr>
              <w:jc w:val="center"/>
            </w:pPr>
            <w:r>
              <w:rPr>
                <w:b/>
                <w:bCs/>
                <w:sz w:val="19"/>
                <w:szCs w:val="19"/>
              </w:rPr>
              <w:t xml:space="preserve">t</w:t>
            </w:r>
          </w:p>
        </w:tc>
        <w:tc>
          <w:tcPr>
            <w:tcW w:type="dxa" w:w="2000"/>
            <w:shd w:fill="D9E2F3" w:val="clear"/>
            <w:tcMar>
              <w:top w:type="dxa" w:w="60"/>
              <w:left w:type="dxa" w:w="80"/>
              <w:bottom w:type="dxa" w:w="60"/>
              <w:right w:type="dxa" w:w="80"/>
            </w:tcMar>
          </w:tcPr>
          <w:p>
            <w:pPr>
              <w:jc w:val="center"/>
            </w:pPr>
            <w:r>
              <w:rPr>
                <w:b/>
                <w:bCs/>
                <w:sz w:val="19"/>
                <w:szCs w:val="19"/>
              </w:rPr>
              <w:t xml:space="preserve">df</w:t>
            </w:r>
          </w:p>
        </w:tc>
        <w:tc>
          <w:tcPr>
            <w:tcW w:type="dxa" w:w="1960"/>
            <w:shd w:fill="D9E2F3" w:val="clear"/>
            <w:tcMar>
              <w:top w:type="dxa" w:w="60"/>
              <w:left w:type="dxa" w:w="80"/>
              <w:bottom w:type="dxa" w:w="60"/>
              <w:right w:type="dxa" w:w="80"/>
            </w:tcMar>
          </w:tcPr>
          <w:p>
            <w:pPr>
              <w:jc w:val="center"/>
            </w:pPr>
            <w:r>
              <w:rPr>
                <w:b/>
                <w:bCs/>
                <w:sz w:val="19"/>
                <w:szCs w:val="19"/>
              </w:rPr>
              <w:t xml:space="preserve">p-value</w:t>
            </w:r>
          </w:p>
        </w:tc>
      </w:tr>
      <w:tr>
        <w:trPr>
          <w:cantSplit/>
        </w:trPr>
        <w:tc>
          <w:tcPr>
            <w:tcW w:type="dxa" w:w="3400"/>
            <w:tcMar>
              <w:top w:type="dxa" w:w="60"/>
              <w:left w:type="dxa" w:w="80"/>
              <w:bottom w:type="dxa" w:w="60"/>
              <w:right w:type="dxa" w:w="80"/>
            </w:tcMar>
          </w:tcPr>
          <w:p>
            <w:pPr>
              <w:jc w:val="left"/>
            </w:pPr>
            <w:r>
              <w:rPr>
                <w:b w:val="false"/>
                <w:bCs w:val="false"/>
                <w:sz w:val="19"/>
                <w:szCs w:val="19"/>
              </w:rPr>
              <w:t xml:space="preserve">vs. GAMS-Net baseline</w:t>
            </w:r>
          </w:p>
        </w:tc>
        <w:tc>
          <w:tcPr>
            <w:tcW w:type="dxa" w:w="2000"/>
            <w:tcMar>
              <w:top w:type="dxa" w:w="60"/>
              <w:left w:type="dxa" w:w="80"/>
              <w:bottom w:type="dxa" w:w="60"/>
              <w:right w:type="dxa" w:w="80"/>
            </w:tcMar>
          </w:tcPr>
          <w:p>
            <w:pPr>
              <w:jc w:val="center"/>
            </w:pPr>
            <w:r>
              <w:rPr>
                <w:b w:val="false"/>
                <w:bCs w:val="false"/>
                <w:sz w:val="19"/>
                <w:szCs w:val="19"/>
              </w:rPr>
              <w:t xml:space="preserve">0.488</w:t>
            </w:r>
          </w:p>
        </w:tc>
        <w:tc>
          <w:tcPr>
            <w:tcW w:type="dxa" w:w="2000"/>
            <w:tcMar>
              <w:top w:type="dxa" w:w="60"/>
              <w:left w:type="dxa" w:w="80"/>
              <w:bottom w:type="dxa" w:w="60"/>
              <w:right w:type="dxa" w:w="80"/>
            </w:tcMar>
          </w:tcPr>
          <w:p>
            <w:pPr>
              <w:jc w:val="center"/>
            </w:pPr>
            <w:r>
              <w:rPr>
                <w:b w:val="false"/>
                <w:bCs w:val="false"/>
                <w:sz w:val="19"/>
                <w:szCs w:val="19"/>
              </w:rPr>
              <w:t xml:space="preserve">2.27</w:t>
            </w:r>
          </w:p>
        </w:tc>
        <w:tc>
          <w:tcPr>
            <w:tcW w:type="dxa" w:w="1960"/>
            <w:tcMar>
              <w:top w:type="dxa" w:w="60"/>
              <w:left w:type="dxa" w:w="80"/>
              <w:bottom w:type="dxa" w:w="60"/>
              <w:right w:type="dxa" w:w="80"/>
            </w:tcMar>
          </w:tcPr>
          <w:p>
            <w:pPr>
              <w:jc w:val="center"/>
            </w:pPr>
            <w:r>
              <w:rPr>
                <w:b w:val="false"/>
                <w:bCs w:val="false"/>
                <w:sz w:val="19"/>
                <w:szCs w:val="19"/>
              </w:rPr>
              <w:t xml:space="preserve">0.6685</w:t>
            </w:r>
          </w:p>
        </w:tc>
      </w:tr>
      <w:tr>
        <w:trPr>
          <w:cantSplit/>
        </w:trPr>
        <w:tc>
          <w:tcPr>
            <w:tcW w:type="dxa" w:w="3400"/>
            <w:tcMar>
              <w:top w:type="dxa" w:w="60"/>
              <w:left w:type="dxa" w:w="80"/>
              <w:bottom w:type="dxa" w:w="60"/>
              <w:right w:type="dxa" w:w="80"/>
            </w:tcMar>
          </w:tcPr>
          <w:p>
            <w:pPr>
              <w:jc w:val="left"/>
            </w:pPr>
            <w:r>
              <w:rPr>
                <w:b w:val="false"/>
                <w:bCs w:val="false"/>
                <w:sz w:val="19"/>
                <w:szCs w:val="19"/>
              </w:rPr>
              <w:t xml:space="preserve">vs. MobileNetV2</w:t>
            </w:r>
          </w:p>
        </w:tc>
        <w:tc>
          <w:tcPr>
            <w:tcW w:type="dxa" w:w="2000"/>
            <w:tcMar>
              <w:top w:type="dxa" w:w="60"/>
              <w:left w:type="dxa" w:w="80"/>
              <w:bottom w:type="dxa" w:w="60"/>
              <w:right w:type="dxa" w:w="80"/>
            </w:tcMar>
          </w:tcPr>
          <w:p>
            <w:pPr>
              <w:jc w:val="center"/>
            </w:pPr>
            <w:r>
              <w:rPr>
                <w:b w:val="false"/>
                <w:bCs w:val="false"/>
                <w:sz w:val="19"/>
                <w:szCs w:val="19"/>
              </w:rPr>
              <w:t xml:space="preserve">−2.509</w:t>
            </w:r>
          </w:p>
        </w:tc>
        <w:tc>
          <w:tcPr>
            <w:tcW w:type="dxa" w:w="2000"/>
            <w:tcMar>
              <w:top w:type="dxa" w:w="60"/>
              <w:left w:type="dxa" w:w="80"/>
              <w:bottom w:type="dxa" w:w="60"/>
              <w:right w:type="dxa" w:w="80"/>
            </w:tcMar>
          </w:tcPr>
          <w:p>
            <w:pPr>
              <w:jc w:val="center"/>
            </w:pPr>
            <w:r>
              <w:rPr>
                <w:b w:val="false"/>
                <w:bCs w:val="false"/>
                <w:sz w:val="19"/>
                <w:szCs w:val="19"/>
              </w:rPr>
              <w:t xml:space="preserve">3.19</w:t>
            </w:r>
          </w:p>
        </w:tc>
        <w:tc>
          <w:tcPr>
            <w:tcW w:type="dxa" w:w="1960"/>
            <w:tcMar>
              <w:top w:type="dxa" w:w="60"/>
              <w:left w:type="dxa" w:w="80"/>
              <w:bottom w:type="dxa" w:w="60"/>
              <w:right w:type="dxa" w:w="80"/>
            </w:tcMar>
          </w:tcPr>
          <w:p>
            <w:pPr>
              <w:jc w:val="center"/>
            </w:pPr>
            <w:r>
              <w:rPr>
                <w:b w:val="false"/>
                <w:bCs w:val="false"/>
                <w:sz w:val="19"/>
                <w:szCs w:val="19"/>
              </w:rPr>
              <w:t xml:space="preserve">0.0819</w:t>
            </w:r>
          </w:p>
        </w:tc>
      </w:tr>
      <w:tr>
        <w:trPr>
          <w:cantSplit/>
        </w:trPr>
        <w:tc>
          <w:tcPr>
            <w:tcW w:type="dxa" w:w="3400"/>
            <w:tcMar>
              <w:top w:type="dxa" w:w="60"/>
              <w:left w:type="dxa" w:w="80"/>
              <w:bottom w:type="dxa" w:w="60"/>
              <w:right w:type="dxa" w:w="80"/>
            </w:tcMar>
          </w:tcPr>
          <w:p>
            <w:pPr>
              <w:jc w:val="left"/>
            </w:pPr>
            <w:r>
              <w:rPr>
                <w:b w:val="false"/>
                <w:bCs w:val="false"/>
                <w:sz w:val="19"/>
                <w:szCs w:val="19"/>
              </w:rPr>
              <w:t xml:space="preserve">vs. EfficientNet-B0</w:t>
            </w:r>
          </w:p>
        </w:tc>
        <w:tc>
          <w:tcPr>
            <w:tcW w:type="dxa" w:w="2000"/>
            <w:tcMar>
              <w:top w:type="dxa" w:w="60"/>
              <w:left w:type="dxa" w:w="80"/>
              <w:bottom w:type="dxa" w:w="60"/>
              <w:right w:type="dxa" w:w="80"/>
            </w:tcMar>
          </w:tcPr>
          <w:p>
            <w:pPr>
              <w:jc w:val="center"/>
            </w:pPr>
            <w:r>
              <w:rPr>
                <w:b w:val="false"/>
                <w:bCs w:val="false"/>
                <w:sz w:val="19"/>
                <w:szCs w:val="19"/>
              </w:rPr>
              <w:t xml:space="preserve">−2.912</w:t>
            </w:r>
          </w:p>
        </w:tc>
        <w:tc>
          <w:tcPr>
            <w:tcW w:type="dxa" w:w="2000"/>
            <w:tcMar>
              <w:top w:type="dxa" w:w="60"/>
              <w:left w:type="dxa" w:w="80"/>
              <w:bottom w:type="dxa" w:w="60"/>
              <w:right w:type="dxa" w:w="80"/>
            </w:tcMar>
          </w:tcPr>
          <w:p>
            <w:pPr>
              <w:jc w:val="center"/>
            </w:pPr>
            <w:r>
              <w:rPr>
                <w:b w:val="false"/>
                <w:bCs w:val="false"/>
                <w:sz w:val="19"/>
                <w:szCs w:val="19"/>
              </w:rPr>
              <w:t xml:space="preserve">3.30</w:t>
            </w:r>
          </w:p>
        </w:tc>
        <w:tc>
          <w:tcPr>
            <w:tcW w:type="dxa" w:w="1960"/>
            <w:tcMar>
              <w:top w:type="dxa" w:w="60"/>
              <w:left w:type="dxa" w:w="80"/>
              <w:bottom w:type="dxa" w:w="60"/>
              <w:right w:type="dxa" w:w="80"/>
            </w:tcMar>
          </w:tcPr>
          <w:p>
            <w:pPr>
              <w:jc w:val="center"/>
            </w:pPr>
            <w:r>
              <w:rPr>
                <w:b w:val="false"/>
                <w:bCs w:val="false"/>
                <w:sz w:val="19"/>
                <w:szCs w:val="19"/>
              </w:rPr>
              <w:t xml:space="preserve">0.0551</w:t>
            </w:r>
          </w:p>
        </w:tc>
      </w:tr>
    </w:tbl>
    <w:p>
      <w:pPr>
        <w:spacing w:after="160"/>
        <w:jc w:val="both"/>
      </w:pPr>
      <w:r>
        <w:rPr>
          <w:sz w:val="22"/>
          <w:szCs w:val="22"/>
        </w:rPr>
        <w:t xml:space="preserve"/>
      </w:r>
    </w:p>
    <w:p>
      <w:pPr>
        <w:pStyle w:val="Heading2"/>
        <w:spacing w:after="120" w:before="240"/>
      </w:pPr>
      <w:r>
        <w:t xml:space="preserve">4.5 Ablation study</w:t>
      </w:r>
    </w:p>
    <w:p>
      <w:pPr>
        <w:spacing w:after="160"/>
        <w:jc w:val="both"/>
      </w:pPr>
      <w:r>
        <w:rPr>
          <w:sz w:val="22"/>
          <w:szCs w:val="22"/>
        </w:rPr>
        <w:t xml:space="preserve">Table 7 reports the single-seed ablation. Removing KD costs the largest and only McNemar-significant drop (−1.47 points); removing the doubled MSDF (reverting to a single MSDF block, and reducing parameters to 2.956M) costs 0.61 points; replacing spatial attention with ECA costs 0.49 points. Both of the latter two are directionally consistent with the design rationale (Section 3.4) but are not individually significant at this sample size.</w:t>
      </w:r>
    </w:p>
    <w:p>
      <w:pPr>
        <w:spacing w:after="240"/>
        <w:jc w:val="center"/>
      </w:pPr>
      <w:r>
        <w:rPr>
          <w:i/>
          <w:iCs/>
          <w:sz w:val="20"/>
          <w:szCs w:val="20"/>
        </w:rPr>
        <w:t xml:space="preserve">Table 7. Component ablation of KD-GAMS-Net (single run, seed 42, n = 819).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600"/>
            <w:shd w:fill="D9E2F3" w:val="clear"/>
            <w:tcMar>
              <w:top w:type="dxa" w:w="60"/>
              <w:left w:type="dxa" w:w="80"/>
              <w:bottom w:type="dxa" w:w="60"/>
              <w:right w:type="dxa" w:w="80"/>
            </w:tcMar>
          </w:tcPr>
          <w:p>
            <w:pPr>
              <w:jc w:val="center"/>
            </w:pPr>
            <w:r>
              <w:rPr>
                <w:b/>
                <w:bCs/>
                <w:sz w:val="19"/>
                <w:szCs w:val="19"/>
              </w:rPr>
              <w:t xml:space="preserve">Variant</w:t>
            </w:r>
          </w:p>
        </w:tc>
        <w:tc>
          <w:tcPr>
            <w:tcW w:type="dxa" w:w="1500"/>
            <w:shd w:fill="D9E2F3" w:val="clear"/>
            <w:tcMar>
              <w:top w:type="dxa" w:w="60"/>
              <w:left w:type="dxa" w:w="80"/>
              <w:bottom w:type="dxa" w:w="60"/>
              <w:right w:type="dxa" w:w="80"/>
            </w:tcMar>
          </w:tcPr>
          <w:p>
            <w:pPr>
              <w:jc w:val="center"/>
            </w:pPr>
            <w:r>
              <w:rPr>
                <w:b/>
                <w:bCs/>
                <w:sz w:val="19"/>
                <w:szCs w:val="19"/>
              </w:rPr>
              <w:t xml:space="preserve">Params (M)</w:t>
            </w:r>
          </w:p>
        </w:tc>
        <w:tc>
          <w:tcPr>
            <w:tcW w:type="dxa" w:w="1500"/>
            <w:shd w:fill="D9E2F3" w:val="clear"/>
            <w:tcMar>
              <w:top w:type="dxa" w:w="60"/>
              <w:left w:type="dxa" w:w="80"/>
              <w:bottom w:type="dxa" w:w="60"/>
              <w:right w:type="dxa" w:w="80"/>
            </w:tcMar>
          </w:tcPr>
          <w:p>
            <w:pPr>
              <w:jc w:val="center"/>
            </w:pPr>
            <w:r>
              <w:rPr>
                <w:b/>
                <w:bCs/>
                <w:sz w:val="19"/>
                <w:szCs w:val="19"/>
              </w:rPr>
              <w:t xml:space="preserve">Accuracy</w:t>
            </w:r>
          </w:p>
        </w:tc>
        <w:tc>
          <w:tcPr>
            <w:tcW w:type="dxa" w:w="1500"/>
            <w:shd w:fill="D9E2F3" w:val="clear"/>
            <w:tcMar>
              <w:top w:type="dxa" w:w="60"/>
              <w:left w:type="dxa" w:w="80"/>
              <w:bottom w:type="dxa" w:w="60"/>
              <w:right w:type="dxa" w:w="80"/>
            </w:tcMar>
          </w:tcPr>
          <w:p>
            <w:pPr>
              <w:jc w:val="center"/>
            </w:pPr>
            <w:r>
              <w:rPr>
                <w:b/>
                <w:bCs/>
                <w:sz w:val="19"/>
                <w:szCs w:val="19"/>
              </w:rPr>
              <w:t xml:space="preserve">F1 (macro)</w:t>
            </w:r>
          </w:p>
        </w:tc>
        <w:tc>
          <w:tcPr>
            <w:tcW w:type="dxa" w:w="2260"/>
            <w:shd w:fill="D9E2F3" w:val="clear"/>
            <w:tcMar>
              <w:top w:type="dxa" w:w="60"/>
              <w:left w:type="dxa" w:w="80"/>
              <w:bottom w:type="dxa" w:w="60"/>
              <w:right w:type="dxa" w:w="80"/>
            </w:tcMar>
          </w:tcPr>
          <w:p>
            <w:pPr>
              <w:jc w:val="center"/>
            </w:pPr>
            <w:r>
              <w:rPr>
                <w:b/>
                <w:bCs/>
                <w:sz w:val="19"/>
                <w:szCs w:val="19"/>
              </w:rPr>
              <w:t xml:space="preserve">Δ Accuracy vs. full</w:t>
            </w:r>
          </w:p>
        </w:tc>
      </w:tr>
      <w:tr>
        <w:trPr>
          <w:cantSplit/>
        </w:trPr>
        <w:tc>
          <w:tcPr>
            <w:tcW w:type="dxa" w:w="2600"/>
            <w:tcMar>
              <w:top w:type="dxa" w:w="60"/>
              <w:left w:type="dxa" w:w="80"/>
              <w:bottom w:type="dxa" w:w="60"/>
              <w:right w:type="dxa" w:w="80"/>
            </w:tcMar>
          </w:tcPr>
          <w:p>
            <w:pPr>
              <w:jc w:val="left"/>
            </w:pPr>
            <w:r>
              <w:rPr>
                <w:b w:val="false"/>
                <w:bCs w:val="false"/>
                <w:sz w:val="19"/>
                <w:szCs w:val="19"/>
              </w:rPr>
              <w:t xml:space="preserve">Full KD-GAMS-Net</w:t>
            </w:r>
          </w:p>
        </w:tc>
        <w:tc>
          <w:tcPr>
            <w:tcW w:type="dxa" w:w="1500"/>
            <w:tcMar>
              <w:top w:type="dxa" w:w="60"/>
              <w:left w:type="dxa" w:w="80"/>
              <w:bottom w:type="dxa" w:w="60"/>
              <w:right w:type="dxa" w:w="80"/>
            </w:tcMar>
          </w:tcPr>
          <w:p>
            <w:pPr>
              <w:jc w:val="center"/>
            </w:pPr>
            <w:r>
              <w:rPr>
                <w:b w:val="false"/>
                <w:bCs w:val="false"/>
                <w:sz w:val="19"/>
                <w:szCs w:val="19"/>
              </w:rPr>
              <w:t xml:space="preserve">3.164</w:t>
            </w:r>
          </w:p>
        </w:tc>
        <w:tc>
          <w:tcPr>
            <w:tcW w:type="dxa" w:w="1500"/>
            <w:tcMar>
              <w:top w:type="dxa" w:w="60"/>
              <w:left w:type="dxa" w:w="80"/>
              <w:bottom w:type="dxa" w:w="60"/>
              <w:right w:type="dxa" w:w="80"/>
            </w:tcMar>
          </w:tcPr>
          <w:p>
            <w:pPr>
              <w:jc w:val="center"/>
            </w:pPr>
            <w:r>
              <w:rPr>
                <w:b w:val="false"/>
                <w:bCs w:val="false"/>
                <w:sz w:val="19"/>
                <w:szCs w:val="19"/>
              </w:rPr>
              <w:t xml:space="preserve">0.9731</w:t>
            </w:r>
          </w:p>
        </w:tc>
        <w:tc>
          <w:tcPr>
            <w:tcW w:type="dxa" w:w="1500"/>
            <w:tcMar>
              <w:top w:type="dxa" w:w="60"/>
              <w:left w:type="dxa" w:w="80"/>
              <w:bottom w:type="dxa" w:w="60"/>
              <w:right w:type="dxa" w:w="80"/>
            </w:tcMar>
          </w:tcPr>
          <w:p>
            <w:pPr>
              <w:jc w:val="center"/>
            </w:pPr>
            <w:r>
              <w:rPr>
                <w:b w:val="false"/>
                <w:bCs w:val="false"/>
                <w:sz w:val="19"/>
                <w:szCs w:val="19"/>
              </w:rPr>
              <w:t xml:space="preserve">0.9680</w:t>
            </w:r>
          </w:p>
        </w:tc>
        <w:tc>
          <w:tcPr>
            <w:tcW w:type="dxa" w:w="2260"/>
            <w:tcMar>
              <w:top w:type="dxa" w:w="60"/>
              <w:left w:type="dxa" w:w="80"/>
              <w:bottom w:type="dxa" w:w="60"/>
              <w:right w:type="dxa" w:w="80"/>
            </w:tcMar>
          </w:tcPr>
          <w:p>
            <w:pPr>
              <w:jc w:val="center"/>
            </w:pPr>
            <w:r>
              <w:rPr>
                <w:b w:val="false"/>
                <w:bCs w:val="false"/>
                <w:sz w:val="19"/>
                <w:szCs w:val="19"/>
              </w:rPr>
              <w:t xml:space="preserve">—</w:t>
            </w:r>
          </w:p>
        </w:tc>
      </w:tr>
      <w:tr>
        <w:trPr>
          <w:cantSplit/>
        </w:trPr>
        <w:tc>
          <w:tcPr>
            <w:tcW w:type="dxa" w:w="2600"/>
            <w:tcMar>
              <w:top w:type="dxa" w:w="60"/>
              <w:left w:type="dxa" w:w="80"/>
              <w:bottom w:type="dxa" w:w="60"/>
              <w:right w:type="dxa" w:w="80"/>
            </w:tcMar>
          </w:tcPr>
          <w:p>
            <w:pPr>
              <w:jc w:val="left"/>
            </w:pPr>
            <w:r>
              <w:rPr>
                <w:b w:val="false"/>
                <w:bCs w:val="false"/>
                <w:sz w:val="19"/>
                <w:szCs w:val="19"/>
              </w:rPr>
              <w:t xml:space="preserve">w/o KD</w:t>
            </w:r>
          </w:p>
        </w:tc>
        <w:tc>
          <w:tcPr>
            <w:tcW w:type="dxa" w:w="1500"/>
            <w:tcMar>
              <w:top w:type="dxa" w:w="60"/>
              <w:left w:type="dxa" w:w="80"/>
              <w:bottom w:type="dxa" w:w="60"/>
              <w:right w:type="dxa" w:w="80"/>
            </w:tcMar>
          </w:tcPr>
          <w:p>
            <w:pPr>
              <w:jc w:val="center"/>
            </w:pPr>
            <w:r>
              <w:rPr>
                <w:b w:val="false"/>
                <w:bCs w:val="false"/>
                <w:sz w:val="19"/>
                <w:szCs w:val="19"/>
              </w:rPr>
              <w:t xml:space="preserve">3.164</w:t>
            </w:r>
          </w:p>
        </w:tc>
        <w:tc>
          <w:tcPr>
            <w:tcW w:type="dxa" w:w="1500"/>
            <w:tcMar>
              <w:top w:type="dxa" w:w="60"/>
              <w:left w:type="dxa" w:w="80"/>
              <w:bottom w:type="dxa" w:w="60"/>
              <w:right w:type="dxa" w:w="80"/>
            </w:tcMar>
          </w:tcPr>
          <w:p>
            <w:pPr>
              <w:jc w:val="center"/>
            </w:pPr>
            <w:r>
              <w:rPr>
                <w:b w:val="false"/>
                <w:bCs w:val="false"/>
                <w:sz w:val="19"/>
                <w:szCs w:val="19"/>
              </w:rPr>
              <w:t xml:space="preserve">0.9585</w:t>
            </w:r>
          </w:p>
        </w:tc>
        <w:tc>
          <w:tcPr>
            <w:tcW w:type="dxa" w:w="1500"/>
            <w:tcMar>
              <w:top w:type="dxa" w:w="60"/>
              <w:left w:type="dxa" w:w="80"/>
              <w:bottom w:type="dxa" w:w="60"/>
              <w:right w:type="dxa" w:w="80"/>
            </w:tcMar>
          </w:tcPr>
          <w:p>
            <w:pPr>
              <w:jc w:val="center"/>
            </w:pPr>
            <w:r>
              <w:rPr>
                <w:b w:val="false"/>
                <w:bCs w:val="false"/>
                <w:sz w:val="19"/>
                <w:szCs w:val="19"/>
              </w:rPr>
              <w:t xml:space="preserve">0.9452</w:t>
            </w:r>
          </w:p>
        </w:tc>
        <w:tc>
          <w:tcPr>
            <w:tcW w:type="dxa" w:w="2260"/>
            <w:tcMar>
              <w:top w:type="dxa" w:w="60"/>
              <w:left w:type="dxa" w:w="80"/>
              <w:bottom w:type="dxa" w:w="60"/>
              <w:right w:type="dxa" w:w="80"/>
            </w:tcMar>
          </w:tcPr>
          <w:p>
            <w:pPr>
              <w:jc w:val="center"/>
            </w:pPr>
            <w:r>
              <w:rPr>
                <w:b w:val="false"/>
                <w:bCs w:val="false"/>
                <w:sz w:val="19"/>
                <w:szCs w:val="19"/>
              </w:rPr>
              <w:t xml:space="preserve">−0.0147</w:t>
            </w:r>
          </w:p>
        </w:tc>
      </w:tr>
      <w:tr>
        <w:trPr>
          <w:cantSplit/>
        </w:trPr>
        <w:tc>
          <w:tcPr>
            <w:tcW w:type="dxa" w:w="2600"/>
            <w:tcMar>
              <w:top w:type="dxa" w:w="60"/>
              <w:left w:type="dxa" w:w="80"/>
              <w:bottom w:type="dxa" w:w="60"/>
              <w:right w:type="dxa" w:w="80"/>
            </w:tcMar>
          </w:tcPr>
          <w:p>
            <w:pPr>
              <w:jc w:val="left"/>
            </w:pPr>
            <w:r>
              <w:rPr>
                <w:b w:val="false"/>
                <w:bCs w:val="false"/>
                <w:sz w:val="19"/>
                <w:szCs w:val="19"/>
              </w:rPr>
              <w:t xml:space="preserve">w/o double-MSDF</w:t>
            </w:r>
          </w:p>
        </w:tc>
        <w:tc>
          <w:tcPr>
            <w:tcW w:type="dxa" w:w="1500"/>
            <w:tcMar>
              <w:top w:type="dxa" w:w="60"/>
              <w:left w:type="dxa" w:w="80"/>
              <w:bottom w:type="dxa" w:w="60"/>
              <w:right w:type="dxa" w:w="80"/>
            </w:tcMar>
          </w:tcPr>
          <w:p>
            <w:pPr>
              <w:jc w:val="center"/>
            </w:pPr>
            <w:r>
              <w:rPr>
                <w:b w:val="false"/>
                <w:bCs w:val="false"/>
                <w:sz w:val="19"/>
                <w:szCs w:val="19"/>
              </w:rPr>
              <w:t xml:space="preserve">2.956</w:t>
            </w:r>
          </w:p>
        </w:tc>
        <w:tc>
          <w:tcPr>
            <w:tcW w:type="dxa" w:w="1500"/>
            <w:tcMar>
              <w:top w:type="dxa" w:w="60"/>
              <w:left w:type="dxa" w:w="80"/>
              <w:bottom w:type="dxa" w:w="60"/>
              <w:right w:type="dxa" w:w="80"/>
            </w:tcMar>
          </w:tcPr>
          <w:p>
            <w:pPr>
              <w:jc w:val="center"/>
            </w:pPr>
            <w:r>
              <w:rPr>
                <w:b w:val="false"/>
                <w:bCs w:val="false"/>
                <w:sz w:val="19"/>
                <w:szCs w:val="19"/>
              </w:rPr>
              <w:t xml:space="preserve">0.9670</w:t>
            </w:r>
          </w:p>
        </w:tc>
        <w:tc>
          <w:tcPr>
            <w:tcW w:type="dxa" w:w="1500"/>
            <w:tcMar>
              <w:top w:type="dxa" w:w="60"/>
              <w:left w:type="dxa" w:w="80"/>
              <w:bottom w:type="dxa" w:w="60"/>
              <w:right w:type="dxa" w:w="80"/>
            </w:tcMar>
          </w:tcPr>
          <w:p>
            <w:pPr>
              <w:jc w:val="center"/>
            </w:pPr>
            <w:r>
              <w:rPr>
                <w:b w:val="false"/>
                <w:bCs w:val="false"/>
                <w:sz w:val="19"/>
                <w:szCs w:val="19"/>
              </w:rPr>
              <w:t xml:space="preserve">0.9578</w:t>
            </w:r>
          </w:p>
        </w:tc>
        <w:tc>
          <w:tcPr>
            <w:tcW w:type="dxa" w:w="2260"/>
            <w:tcMar>
              <w:top w:type="dxa" w:w="60"/>
              <w:left w:type="dxa" w:w="80"/>
              <w:bottom w:type="dxa" w:w="60"/>
              <w:right w:type="dxa" w:w="80"/>
            </w:tcMar>
          </w:tcPr>
          <w:p>
            <w:pPr>
              <w:jc w:val="center"/>
            </w:pPr>
            <w:r>
              <w:rPr>
                <w:b w:val="false"/>
                <w:bCs w:val="false"/>
                <w:sz w:val="19"/>
                <w:szCs w:val="19"/>
              </w:rPr>
              <w:t xml:space="preserve">−0.0061</w:t>
            </w:r>
          </w:p>
        </w:tc>
      </w:tr>
      <w:tr>
        <w:trPr>
          <w:cantSplit/>
        </w:trPr>
        <w:tc>
          <w:tcPr>
            <w:tcW w:type="dxa" w:w="2600"/>
            <w:tcMar>
              <w:top w:type="dxa" w:w="60"/>
              <w:left w:type="dxa" w:w="80"/>
              <w:bottom w:type="dxa" w:w="60"/>
              <w:right w:type="dxa" w:w="80"/>
            </w:tcMar>
          </w:tcPr>
          <w:p>
            <w:pPr>
              <w:jc w:val="left"/>
            </w:pPr>
            <w:r>
              <w:rPr>
                <w:b w:val="false"/>
                <w:bCs w:val="false"/>
                <w:sz w:val="19"/>
                <w:szCs w:val="19"/>
              </w:rPr>
              <w:t xml:space="preserve">w/o spatial attn (ECA)</w:t>
            </w:r>
          </w:p>
        </w:tc>
        <w:tc>
          <w:tcPr>
            <w:tcW w:type="dxa" w:w="1500"/>
            <w:tcMar>
              <w:top w:type="dxa" w:w="60"/>
              <w:left w:type="dxa" w:w="80"/>
              <w:bottom w:type="dxa" w:w="60"/>
              <w:right w:type="dxa" w:w="80"/>
            </w:tcMar>
          </w:tcPr>
          <w:p>
            <w:pPr>
              <w:jc w:val="center"/>
            </w:pPr>
            <w:r>
              <w:rPr>
                <w:b w:val="false"/>
                <w:bCs w:val="false"/>
                <w:sz w:val="19"/>
                <w:szCs w:val="19"/>
              </w:rPr>
              <w:t xml:space="preserve">3.164</w:t>
            </w:r>
          </w:p>
        </w:tc>
        <w:tc>
          <w:tcPr>
            <w:tcW w:type="dxa" w:w="1500"/>
            <w:tcMar>
              <w:top w:type="dxa" w:w="60"/>
              <w:left w:type="dxa" w:w="80"/>
              <w:bottom w:type="dxa" w:w="60"/>
              <w:right w:type="dxa" w:w="80"/>
            </w:tcMar>
          </w:tcPr>
          <w:p>
            <w:pPr>
              <w:jc w:val="center"/>
            </w:pPr>
            <w:r>
              <w:rPr>
                <w:b w:val="false"/>
                <w:bCs w:val="false"/>
                <w:sz w:val="19"/>
                <w:szCs w:val="19"/>
              </w:rPr>
              <w:t xml:space="preserve">0.9683</w:t>
            </w:r>
          </w:p>
        </w:tc>
        <w:tc>
          <w:tcPr>
            <w:tcW w:type="dxa" w:w="1500"/>
            <w:tcMar>
              <w:top w:type="dxa" w:w="60"/>
              <w:left w:type="dxa" w:w="80"/>
              <w:bottom w:type="dxa" w:w="60"/>
              <w:right w:type="dxa" w:w="80"/>
            </w:tcMar>
          </w:tcPr>
          <w:p>
            <w:pPr>
              <w:jc w:val="center"/>
            </w:pPr>
            <w:r>
              <w:rPr>
                <w:b w:val="false"/>
                <w:bCs w:val="false"/>
                <w:sz w:val="19"/>
                <w:szCs w:val="19"/>
              </w:rPr>
              <w:t xml:space="preserve">0.9593</w:t>
            </w:r>
          </w:p>
        </w:tc>
        <w:tc>
          <w:tcPr>
            <w:tcW w:type="dxa" w:w="2260"/>
            <w:tcMar>
              <w:top w:type="dxa" w:w="60"/>
              <w:left w:type="dxa" w:w="80"/>
              <w:bottom w:type="dxa" w:w="60"/>
              <w:right w:type="dxa" w:w="80"/>
            </w:tcMar>
          </w:tcPr>
          <w:p>
            <w:pPr>
              <w:jc w:val="center"/>
            </w:pPr>
            <w:r>
              <w:rPr>
                <w:b w:val="false"/>
                <w:bCs w:val="false"/>
                <w:sz w:val="19"/>
                <w:szCs w:val="19"/>
              </w:rPr>
              <w:t xml:space="preserve">−0.0049</w:t>
            </w:r>
          </w:p>
        </w:tc>
      </w:tr>
    </w:tbl>
    <w:p>
      <w:pPr>
        <w:spacing w:after="160"/>
        <w:jc w:val="both"/>
      </w:pPr>
      <w:r>
        <w:rPr>
          <w:sz w:val="22"/>
          <w:szCs w:val="22"/>
        </w:rPr>
        <w:t xml:space="preserve"/>
      </w:r>
    </w:p>
    <w:p>
      <w:pPr>
        <w:pStyle w:val="Heading2"/>
        <w:spacing w:after="120" w:before="240"/>
      </w:pPr>
      <w:r>
        <w:t xml:space="preserve">4.6 Per-class error analysis</w:t>
      </w:r>
    </w:p>
    <w:p>
      <w:pPr>
        <w:spacing w:after="160"/>
        <w:jc w:val="both"/>
      </w:pPr>
      <w:r>
        <w:rPr>
          <w:sz w:val="22"/>
          <w:szCs w:val="22"/>
        </w:rPr>
        <w:t xml:space="preserve">Figure 1 shows that every one of the four headline models — and, separately, every one of the three ablation variants — classified all 19 remaining no-tumor test images correctly. Because this is uniform across every model tested, it does not change any model's relative ranking, but it does mean the no-tumor row contributes no discriminative information to this study's comparisons and that its precision/recall estimate carries very wide uncertainty at n = 19. The remaining errors are concentrated on the glioma↔meningioma and pituitary boundaries, similar in pattern to (though smaller in magnitude than) the companion study's error analysis.</w:t>
      </w:r>
    </w:p>
    <w:p>
      <w:pPr>
        <w:pStyle w:val="Heading2"/>
        <w:spacing w:after="120" w:before="240"/>
      </w:pPr>
      <w:r>
        <w:t xml:space="preserve">4.7 Explainability</w:t>
      </w:r>
    </w:p>
    <w:p>
      <w:pPr>
        <w:spacing w:after="160"/>
        <w:jc w:val="both"/>
      </w:pPr>
      <w:r>
        <w:rPr>
          <w:sz w:val="22"/>
          <w:szCs w:val="22"/>
        </w:rPr>
        <w:t xml:space="preserve">Figure 2 shows Grad-CAM heatmaps for seven KD-GAMS-Net test predictions, including one misclassification (a glioma example predicted as pituitary). For the six correct predictions, the highlighted regions concentrate on the tumor-bearing area or, for the no-tumor example, on central ventricular structures rather than background; for the misclassified example, the activation is more diffuse and shifted toward the image periphery, consistent with a genuinely ambiguous or lower-confidence case rather than a spurious background shortcut.</w:t>
      </w:r>
    </w:p>
    <w:p>
      <w:pPr>
        <w:spacing w:after="60" w:before="120"/>
        <w:jc w:val="center"/>
      </w:pPr>
      <w:r>
        <w:drawing>
          <wp:inline distT="0" distB="0" distL="0" distR="0">
            <wp:extent cx="59436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485900"/>
                    </a:xfrm>
                    <a:prstGeom prst="rect">
                      <a:avLst/>
                    </a:prstGeom>
                  </pic:spPr>
                </pic:pic>
              </a:graphicData>
            </a:graphic>
          </wp:inline>
        </w:drawing>
      </w:r>
    </w:p>
    <w:p>
      <w:pPr>
        <w:spacing w:after="240"/>
        <w:jc w:val="center"/>
      </w:pPr>
      <w:r>
        <w:rPr>
          <w:i/>
          <w:iCs/>
          <w:sz w:val="20"/>
          <w:szCs w:val="20"/>
        </w:rPr>
        <w:t xml:space="preserve">Figure 2. Grad-CAM visualizations for KD-GAMS-Net on seven test examples, including one misclassification (third from left in the paired sequence, true glioma predicted pituitary).</w:t>
      </w:r>
    </w:p>
    <w:p>
      <w:pPr>
        <w:pStyle w:val="Heading1"/>
        <w:spacing w:after="160" w:before="320"/>
      </w:pPr>
      <w:r>
        <w:t xml:space="preserve">5. Discussion</w:t>
      </w:r>
    </w:p>
    <w:p>
      <w:pPr>
        <w:spacing w:after="160"/>
        <w:jc w:val="both"/>
      </w:pPr>
      <w:r>
        <w:rPr>
          <w:sz w:val="22"/>
          <w:szCs w:val="22"/>
        </w:rPr>
        <w:t xml:space="preserve">Two findings deserve separate discussion, and we do not treat one as more important a priori than the other.</w:t>
      </w:r>
    </w:p>
    <w:p>
      <w:pPr>
        <w:spacing w:after="160"/>
        <w:jc w:val="both"/>
      </w:pPr>
      <w:r>
        <w:rPr>
          <w:sz w:val="22"/>
          <w:szCs w:val="22"/>
        </w:rPr>
        <w:t xml:space="preserve">On knowledge distillation: KD-GAMS-Net's roughly four-fold reduction in seed-to-seed variance (Table 4) is, in our view, the more practically useful result of the two accuracy-related findings, arguably more useful than the 0.49-point mean accuracy gain itself. A practitioner deploying a from-scratch lightweight model without knowing in advance which random seed they will get benefits more from a narrower, more predictable accuracy distribution than from a small shift in its mean. The McNemar's test in Table 5 corroborates that KD's contribution is real and detectable at the per-sample level (p = 0.045) even though the seed-level comparison against the from-scratch baseline does not reach significance (Table 6, p = 0.669) — these are not contradictory: McNemar's test at n = 819 has more statistical power for a fixed effect size than a t-test over three seed-level summary values, and the two tests answer different questions (does KD change predictions on this test set, versus does the seed-averaged mean differ). The remaining, still-unclosed gap to both pretrained teachers (borderline at p = 0.055–0.082) is consistent with Raghu et al.'s [21] finding that the pretrained-vs-scratch gap tracks model capacity relative to dataset size rather than pretraining status alone — KD narrows this gap substantially without a change in model capacity, but does not eliminate it, suggesting some portion of the pretrained teachers' advantage reflects representational richness that soft-label distillation alone does not fully transfer into a much smaller student.</w:t>
      </w:r>
    </w:p>
    <w:p>
      <w:pPr>
        <w:spacing w:after="160"/>
        <w:jc w:val="both"/>
      </w:pPr>
      <w:r>
        <w:rPr>
          <w:sz w:val="22"/>
          <w:szCs w:val="22"/>
        </w:rPr>
        <w:t xml:space="preserve">On the leakage audit: a 59.1% near-duplicate rate in a naively constructed test split, rising to 94.9% for one class, is a substantially more severe instance of the problem than the qualitative concern raised in the literature we cite [15,16,17,20]. We can only speculate about why the no-tumor class was disproportionately affected: no-tumor (essentially normal-brain) MRI slices plausibly vary less across acquisitions than tumor-bearing slices, whose distinguishing lesion morphology may make different source images more visually distinct from one another even before accounting for genuine duplication introduced by merging multiple public sources with overlapping provenance. We present this as a hypothesis the present data cannot confirm, not as an established mechanism. Whatever the mechanism, the practical implication is unambiguous: any accuracy, precision, recall, or F1 figure reported for the no-tumor class on this corpus lineage without an equivalent audit should be treated with real skepticism, and macro-averaged metrics that include it are being averaged with a class whose post-audit sample size (19) is too small to support a stable estimate.</w:t>
      </w:r>
    </w:p>
    <w:p>
      <w:pPr>
        <w:spacing w:after="160"/>
        <w:jc w:val="both"/>
      </w:pPr>
      <w:r>
        <w:rPr>
          <w:sz w:val="22"/>
          <w:szCs w:val="22"/>
        </w:rPr>
        <w:t xml:space="preserve">We also note, without being able to fully resolve, that this study's audit of a nominally similar split of the same archive found a far higher leakage rate than the companion GAMS-Net study's audit (0 pairs). We report this discrepancy openly (Section 3.2) rather than silently reconciling it, since we cannot confirm whether it reflects a dataset revision between the two experiments, a difference in which images a live Kaggle mount returned at each experiment's run time, or another cause; we recommend that any user of this corpus run their own audit rather than relying on either study's specific pair count.</w:t>
      </w:r>
    </w:p>
    <w:p>
      <w:pPr>
        <w:pStyle w:val="Heading1"/>
        <w:spacing w:after="160" w:before="320"/>
      </w:pPr>
      <w:r>
        <w:t xml:space="preserve">6. Limitations</w:t>
      </w:r>
    </w:p>
    <w:p>
      <w:pPr>
        <w:spacing w:after="160"/>
        <w:jc w:val="both"/>
      </w:pPr>
      <w:r>
        <w:rPr>
          <w:b/>
          <w:bCs/>
        </w:rPr>
        <w:t xml:space="preserve">Small, severely imbalanced post-audit test set. </w:t>
      </w:r>
      <w:r>
        <w:t xml:space="preserve">The leak-audited test set (819 images) is 59% smaller than originally constructed, and its class balance shifted from roughly even to 398/185/19/217 (glioma/meningioma/no-tumor/pituitary). Every metric in this paper that includes the no-tumor class, especially macro-averaged ones, should be read with this n = 19 in mind.</w:t>
      </w:r>
    </w:p>
    <w:p>
      <w:pPr>
        <w:spacing w:after="160"/>
        <w:jc w:val="both"/>
      </w:pPr>
      <w:r>
        <w:rPr>
          <w:b/>
          <w:bCs/>
        </w:rPr>
        <w:t xml:space="preserve">Statistical power. </w:t>
      </w:r>
      <w:r>
        <w:t xml:space="preserve">The three-seed comparisons in Table 6 are, as in the companion study, a low-power basis for the resulting p-values and should be read as indicative rather than confirmatory.</w:t>
      </w:r>
    </w:p>
    <w:p>
      <w:pPr>
        <w:spacing w:after="160"/>
        <w:jc w:val="both"/>
      </w:pPr>
      <w:r>
        <w:rPr>
          <w:b/>
          <w:bCs/>
        </w:rPr>
        <w:t xml:space="preserve">Ablation not seed-repeated. </w:t>
      </w:r>
      <w:r>
        <w:t xml:space="preserve">Table 7's ablation is single-seed, for the same computational-cost reason given in the companion study; the large KD effect is corroborated by the significant McNemar's result, but the smaller MSDF and attention effects should be treated as suggestive rather than confirmed until re-estimated across seeds.</w:t>
      </w:r>
    </w:p>
    <w:p>
      <w:pPr>
        <w:spacing w:after="160"/>
        <w:jc w:val="both"/>
      </w:pPr>
      <w:r>
        <w:rPr>
          <w:b/>
          <w:bCs/>
        </w:rPr>
        <w:t xml:space="preserve">Parameter-counting artifact. </w:t>
      </w:r>
      <w:r>
        <w:t xml:space="preserve">Section 3.12 discloses and corrects a `requires_grad`-related bug that zeroed out the two pretrained teachers' reported parameter counts in this run's raw efficiency output; we report the corrected, architecture-invariant values and flag the artifact explicitly rather than silently patching it.</w:t>
      </w:r>
    </w:p>
    <w:p>
      <w:pPr>
        <w:spacing w:after="160"/>
        <w:jc w:val="both"/>
      </w:pPr>
      <w:r>
        <w:rPr>
          <w:b/>
          <w:bCs/>
        </w:rPr>
        <w:t xml:space="preserve">Leakage audit scope. </w:t>
      </w:r>
      <w:r>
        <w:t xml:space="preserve">The perceptual-hash audit detects near-duplicate images but not distinct-but-same-patient slices, since this merged archive carries no patient identifiers; the true leakage rate could exceed the 59.1% reported here.</w:t>
      </w:r>
    </w:p>
    <w:p>
      <w:pPr>
        <w:spacing w:after="160"/>
        <w:jc w:val="both"/>
      </w:pPr>
      <w:r>
        <w:rPr>
          <w:b/>
          <w:bCs/>
        </w:rPr>
        <w:t xml:space="preserve">Unresolved discrepancy between audits. </w:t>
      </w:r>
      <w:r>
        <w:t xml:space="preserve">As discussed in Sections 3.2 and 5, this study's leakage audit found a far higher near-duplicate rate than the companion study's audit of a nominally similar split of the same archive; we report both outcomes rather than treating either as more authoritative.</w:t>
      </w:r>
    </w:p>
    <w:p>
      <w:pPr>
        <w:spacing w:after="160"/>
        <w:jc w:val="both"/>
      </w:pPr>
      <w:r>
        <w:rPr>
          <w:b/>
          <w:bCs/>
        </w:rPr>
        <w:t xml:space="preserve">Single dataset; qualitative explainability only. </w:t>
      </w:r>
      <w:r>
        <w:t xml:space="preserve">All results are from one corpus with no external validation cohort, and Grad-CAM (Figure 2) is a qualitative illustration on seven examples, not a systematic localization evaluation.</w:t>
      </w:r>
    </w:p>
    <w:p>
      <w:pPr>
        <w:pStyle w:val="Heading1"/>
        <w:spacing w:after="160" w:before="320"/>
      </w:pPr>
      <w:r>
        <w:t xml:space="preserve">7. Conclusion</w:t>
      </w:r>
    </w:p>
    <w:p>
      <w:pPr>
        <w:spacing w:after="160"/>
        <w:jc w:val="both"/>
      </w:pPr>
      <w:r>
        <w:rPr>
          <w:sz w:val="22"/>
          <w:szCs w:val="22"/>
        </w:rPr>
        <w:t xml:space="preserve">We proposed KD-GAMS-Net, combining GAMS-Net's Ghost modules with a doubled Multi-Scale Dilated Fusion block, CBAM-style spatial attention, and knowledge distillation from a frozen MobileNetV2 + EfficientNet-B0 teacher ensemble, and evaluated it under a leakage-audited, three-seed, ablation-decomposed protocol with a genuine paired McNemar's test. Knowledge distillation reduced run-to-run variance roughly four-fold and modestly improved mean accuracy relative to a from-scratch GAMS-Net reproduction, narrowing but not eliminating the gap to pretrained lightweight backbones; a real per-sample significance test confirmed KD's contribution specifically, while the smaller architectural changes did not reach significance individually. Separately, and we believe of at least equal importance, the leakage audit performed to enable this comparison found that 59.1% of a naively constructed test split of this corpus — and 94.9% of its no-tumor class — consisted of near-duplicate training images, a substantially more severe instance of a previously flagged but under-quantified problem in this specific, widely used merged Kaggle corpus lineage. We recommend that future work on this corpus treat a leakage audit, and explicit reporting of post-audit per-class sample sizes, as a mandatory step rather than an optional check.</w:t>
      </w:r>
    </w:p>
    <w:p>
      <w:pPr>
        <w:pStyle w:val="Heading1"/>
        <w:spacing w:after="160" w:before="320"/>
      </w:pPr>
      <w:r>
        <w:t xml:space="preserve">Declarations</w:t>
      </w:r>
    </w:p>
    <w:p>
      <w:pPr>
        <w:spacing w:after="160"/>
        <w:jc w:val="both"/>
      </w:pPr>
      <w:r>
        <w:rPr>
          <w:b/>
          <w:bCs/>
        </w:rPr>
        <w:t xml:space="preserve">Funding: </w:t>
      </w:r>
      <w:r>
        <w:t xml:space="preserve">[To be completed by the authors — state funding source or “No funding was received for this study.”]</w:t>
      </w:r>
    </w:p>
    <w:p>
      <w:pPr>
        <w:spacing w:after="160"/>
        <w:jc w:val="both"/>
      </w:pPr>
      <w:r>
        <w:rPr>
          <w:b/>
          <w:bCs/>
        </w:rPr>
        <w:t xml:space="preserve">Conflict of interest: </w:t>
      </w:r>
      <w:r>
        <w:t xml:space="preserve">The authors declare no conflict of interest.</w:t>
      </w:r>
    </w:p>
    <w:p>
      <w:pPr>
        <w:spacing w:after="160"/>
        <w:jc w:val="both"/>
      </w:pPr>
      <w:r>
        <w:rPr>
          <w:b/>
          <w:bCs/>
        </w:rPr>
        <w:t xml:space="preserve">Data availability: </w:t>
      </w:r>
      <w:r>
        <w:t xml:space="preserve">The Brain Tumor MRI Dataset (Merged) is publicly available on Kaggle (sabersakin/brainmri). The leakage-audit output, benchmark/ablation/seed-robustness/McNemar's result tables, and cached per-model predictions underlying this manuscript are available at [repository URL to be added].</w:t>
      </w:r>
    </w:p>
    <w:p>
      <w:pPr>
        <w:spacing w:after="160"/>
        <w:jc w:val="both"/>
      </w:pPr>
      <w:r>
        <w:rPr>
          <w:b/>
          <w:bCs/>
        </w:rPr>
        <w:t xml:space="preserve">Code availability: </w:t>
      </w:r>
      <w:r>
        <w:t xml:space="preserve">[Repository URL to be added.]</w:t>
      </w:r>
    </w:p>
    <w:p>
      <w:pPr>
        <w:spacing w:after="160"/>
        <w:jc w:val="both"/>
      </w:pPr>
      <w:r>
        <w:rPr>
          <w:b/>
          <w:bCs/>
        </w:rPr>
        <w:t xml:space="preserve">Author contributions: </w:t>
      </w:r>
      <w:r>
        <w:t xml:space="preserve">[To be completed by the authors, e.g. using the CREdiT taxonomy — conceptualization, methodology, software, validation, formal analysis, writing.]</w:t>
      </w:r>
    </w:p>
    <w:p>
      <w:pPr>
        <w:spacing w:after="160"/>
        <w:jc w:val="both"/>
      </w:pPr>
      <w:r>
        <w:rPr>
          <w:b/>
          <w:bCs/>
        </w:rPr>
        <w:t xml:space="preserve">Ethical approval: </w:t>
      </w:r>
      <w:r>
        <w:t xml:space="preserve">Not applicable. This study uses a publicly available, de-identified imaging dataset and involved no new data collection from human subjects.</w:t>
      </w:r>
    </w:p>
    <w:p>
      <w:r>
        <w:br w:type="page"/>
      </w:r>
    </w:p>
    <w:p>
      <w:pPr>
        <w:pStyle w:val="Heading1"/>
        <w:spacing w:after="160" w:before="320"/>
      </w:pPr>
      <w:r>
        <w:t xml:space="preserve">References</w:t>
      </w:r>
    </w:p>
    <w:p>
      <w:pPr>
        <w:spacing w:after="120"/>
        <w:ind w:left="360" w:hanging="360"/>
        <w:jc w:val="both"/>
      </w:pPr>
      <w:r>
        <w:rPr>
          <w:sz w:val="20"/>
          <w:szCs w:val="20"/>
        </w:rPr>
        <w:t xml:space="preserve">[1] Hinton, G., Vinyals, O., &amp; Dean, J. (2015). Distilling the knowledge in a neural network. arXiv:1503.02531.</w:t>
      </w:r>
    </w:p>
    <w:p>
      <w:pPr>
        <w:spacing w:after="120"/>
        <w:ind w:left="360" w:hanging="360"/>
        <w:jc w:val="both"/>
      </w:pPr>
      <w:r>
        <w:rPr>
          <w:sz w:val="20"/>
          <w:szCs w:val="20"/>
        </w:rPr>
        <w:t xml:space="preserve">[2] Wang, Q., Wu, B., Zhu, P., Li, P., Zuo, W., &amp; Hu, Q. (2020). ECA-Net: Efficient channel attention for deep convolutional neural networks. In Proceedings of the IEEE/CVF Conference on Computer Vision and Pattern Recognition (CVPR), 11534–11542.</w:t>
      </w:r>
    </w:p>
    <w:p>
      <w:pPr>
        <w:spacing w:after="120"/>
        <w:ind w:left="360" w:hanging="360"/>
        <w:jc w:val="both"/>
      </w:pPr>
      <w:r>
        <w:rPr>
          <w:sz w:val="20"/>
          <w:szCs w:val="20"/>
        </w:rPr>
        <w:t xml:space="preserve">[3] Woo, S., Park, J., Lee, J.-Y., &amp; Kweon, I. S. (2018). CBAM: Convolutional block attention module. In Proceedings of the European Conference on Computer Vision (ECCV), 3–19.</w:t>
      </w:r>
    </w:p>
    <w:p>
      <w:pPr>
        <w:spacing w:after="120"/>
        <w:ind w:left="360" w:hanging="360"/>
        <w:jc w:val="both"/>
      </w:pPr>
      <w:r>
        <w:rPr>
          <w:sz w:val="20"/>
          <w:szCs w:val="20"/>
        </w:rPr>
        <w:t xml:space="preserve">[4] Han, K., Wang, Y., Tian, Q., Guo, J., Xu, C., &amp; Xu, C. (2020). GhostNet: More features from cheap operations. In Proceedings of the IEEE/CVF Conference on Computer Vision and Pattern Recognition (CVPR), 1580–1589.</w:t>
      </w:r>
    </w:p>
    <w:p>
      <w:pPr>
        <w:spacing w:after="120"/>
        <w:ind w:left="360" w:hanging="360"/>
        <w:jc w:val="both"/>
      </w:pPr>
      <w:r>
        <w:rPr>
          <w:sz w:val="20"/>
          <w:szCs w:val="20"/>
        </w:rPr>
        <w:t xml:space="preserve">[5] Selvaraju, R. R., Cogswell, M., Das, A., Vedantam, R., Parikh, D., &amp; Batra, D. (2020). Grad-CAM: Visual explanations from deep networks via gradient-based localization. International Journal of Computer Vision, 128(2), 336–359.</w:t>
      </w:r>
    </w:p>
    <w:p>
      <w:pPr>
        <w:spacing w:after="120"/>
        <w:ind w:left="360" w:hanging="360"/>
        <w:jc w:val="both"/>
      </w:pPr>
      <w:r>
        <w:rPr>
          <w:sz w:val="20"/>
          <w:szCs w:val="20"/>
        </w:rPr>
        <w:t xml:space="preserve">[6] Sandler, M., Howard, A., Zhu, M., Zhmoginov, A., &amp; Chen, L.-C. (2018). MobileNetV2: Inverted residuals and linear bottlenecks. In Proceedings of the IEEE Conference on Computer Vision and Pattern Recognition (CVPR), 4510–4520.</w:t>
      </w:r>
    </w:p>
    <w:p>
      <w:pPr>
        <w:spacing w:after="120"/>
        <w:ind w:left="360" w:hanging="360"/>
        <w:jc w:val="both"/>
      </w:pPr>
      <w:r>
        <w:rPr>
          <w:sz w:val="20"/>
          <w:szCs w:val="20"/>
        </w:rPr>
        <w:t xml:space="preserve">[7] Tan, M., &amp; Le, Q. (2019). EfficientNet: Rethinking model scaling for convolutional neural networks. In Proceedings of the 36th International Conference on Machine Learning (ICML).</w:t>
      </w:r>
    </w:p>
    <w:p>
      <w:pPr>
        <w:spacing w:after="120"/>
        <w:ind w:left="360" w:hanging="360"/>
        <w:jc w:val="both"/>
      </w:pPr>
      <w:r>
        <w:rPr>
          <w:sz w:val="20"/>
          <w:szCs w:val="20"/>
        </w:rPr>
        <w:t xml:space="preserve">[8] Cheng, J. (2017). Brain tumor dataset. Figshare. https://doi.org/10.6084/m9.figshare.1512427</w:t>
      </w:r>
    </w:p>
    <w:p>
      <w:pPr>
        <w:spacing w:after="120"/>
        <w:ind w:left="360" w:hanging="360"/>
        <w:jc w:val="both"/>
      </w:pPr>
      <w:r>
        <w:rPr>
          <w:sz w:val="20"/>
          <w:szCs w:val="20"/>
        </w:rPr>
        <w:t xml:space="preserve">[9] Nickparvar, M. (2021). Brain tumor MRI dataset. Kaggle. https://doi.org/10.34740/kaggle/dsv/2645886</w:t>
      </w:r>
    </w:p>
    <w:p>
      <w:pPr>
        <w:spacing w:after="120"/>
        <w:ind w:left="360" w:hanging="360"/>
        <w:jc w:val="both"/>
      </w:pPr>
      <w:r>
        <w:rPr>
          <w:sz w:val="20"/>
          <w:szCs w:val="20"/>
        </w:rPr>
        <w:t xml:space="preserve">[10] Appasami, G., &amp; Savarimuthu, N. (2025). A novel lightweight CNN design for MRI brain tumor image classification with performance-driven optimization. Discover Computing, 28, 206.</w:t>
      </w:r>
    </w:p>
    <w:p>
      <w:pPr>
        <w:spacing w:after="120"/>
        <w:ind w:left="360" w:hanging="360"/>
        <w:jc w:val="both"/>
      </w:pPr>
      <w:r>
        <w:rPr>
          <w:sz w:val="20"/>
          <w:szCs w:val="20"/>
        </w:rPr>
        <w:t xml:space="preserve">[11] Khan, S. U. R., Asif, S., Zhao, M., Zou, W., Li, Y., &amp; Xiao, C. (2026). ShallowMRI: A novel lightweight CNN with novel attention mechanism for multi brain tumor classification in MRI images. Biomedical Signal Processing and Control, 111, 108425.</w:t>
      </w:r>
    </w:p>
    <w:p>
      <w:pPr>
        <w:spacing w:after="120"/>
        <w:ind w:left="360" w:hanging="360"/>
        <w:jc w:val="both"/>
      </w:pPr>
      <w:r>
        <w:rPr>
          <w:sz w:val="20"/>
          <w:szCs w:val="20"/>
        </w:rPr>
        <w:t xml:space="preserve">[12] Jim, J. R., Rayed, M. E., Mridha, M. F., Nur, K., &amp; Zhang, X. (2025). XLLC-Net: A lightweight and explainable CNN for accurate lung cancer classification using histopathological images. PLOS ONE, 20(5), e0322488.</w:t>
      </w:r>
    </w:p>
    <w:p>
      <w:pPr>
        <w:spacing w:after="120"/>
        <w:ind w:left="360" w:hanging="360"/>
        <w:jc w:val="both"/>
      </w:pPr>
      <w:r>
        <w:rPr>
          <w:sz w:val="20"/>
          <w:szCs w:val="20"/>
        </w:rPr>
        <w:t xml:space="preserve">[13] Zhang, R., Jia, S., Adamu, M. J., Nie, W., Li, Q., &amp; Wu, T. (2023). HMNet: Hierarchical multi-scale brain tumor segmentation network. Journal of Clinical Medicine, 12(2), 538.</w:t>
      </w:r>
    </w:p>
    <w:p>
      <w:pPr>
        <w:spacing w:after="120"/>
        <w:ind w:left="360" w:hanging="360"/>
        <w:jc w:val="both"/>
      </w:pPr>
      <w:r>
        <w:rPr>
          <w:sz w:val="20"/>
          <w:szCs w:val="20"/>
        </w:rPr>
        <w:t xml:space="preserve">[14] Ashwini, B., Kaur, M., Singh, D., Roy, S., &amp; Amoon, M. (2023). Efficient skip connections-based residual network (ESRNet) for brain tumor classification. Diagnostics, 13(20), 3234.</w:t>
      </w:r>
    </w:p>
    <w:p>
      <w:pPr>
        <w:spacing w:after="120"/>
        <w:ind w:left="360" w:hanging="360"/>
        <w:jc w:val="both"/>
      </w:pPr>
      <w:r>
        <w:rPr>
          <w:sz w:val="20"/>
          <w:szCs w:val="20"/>
        </w:rPr>
        <w:t xml:space="preserve">[15] Rastogi, D., Johri, P., Donelli, M., Kumar, L., Bindewari, S., Raghav, A., &amp; Khatri, S. K. (2025). Brain tumor detection and prediction in MRI images utilizing a fine-tuned transfer learning model integrated within deep learning frameworks. Life, 15, 327.</w:t>
      </w:r>
    </w:p>
    <w:p>
      <w:pPr>
        <w:spacing w:after="120"/>
        <w:ind w:left="360" w:hanging="360"/>
        <w:jc w:val="both"/>
      </w:pPr>
      <w:r>
        <w:rPr>
          <w:sz w:val="20"/>
          <w:szCs w:val="20"/>
        </w:rPr>
        <w:t xml:space="preserve">[16] Pastore, E. P. (2026). Comment on Rastogi et al. Brain tumor detection and prediction in MRI images utilizing a fine-tuned transfer learning model integrated within deep learning frameworks. Life 2025, 15, 327. Life, 16(4), 535.</w:t>
      </w:r>
    </w:p>
    <w:p>
      <w:pPr>
        <w:spacing w:after="120"/>
        <w:ind w:left="360" w:hanging="360"/>
        <w:jc w:val="both"/>
      </w:pPr>
      <w:r>
        <w:rPr>
          <w:sz w:val="20"/>
          <w:szCs w:val="20"/>
        </w:rPr>
        <w:t xml:space="preserve">[17] Albzour, N., &amp; Lam, S. S. (2026). A leakage-aware comparative benchmark of machine learning, deep learning, and transformer models for reliable leukemia detection. arXiv:2606.24944.</w:t>
      </w:r>
    </w:p>
    <w:p>
      <w:pPr>
        <w:spacing w:after="120"/>
        <w:ind w:left="360" w:hanging="360"/>
        <w:jc w:val="both"/>
      </w:pPr>
      <w:r>
        <w:rPr>
          <w:sz w:val="20"/>
          <w:szCs w:val="20"/>
        </w:rPr>
        <w:t xml:space="preserve">[18] Dietterich, T. G. (1998). Approximate statistical tests for comparing supervised classification learning algorithms. Neural Computation, 10(7), 1895–1923.</w:t>
      </w:r>
    </w:p>
    <w:p>
      <w:pPr>
        <w:spacing w:after="120"/>
        <w:ind w:left="360" w:hanging="360"/>
        <w:jc w:val="both"/>
      </w:pPr>
      <w:r>
        <w:rPr>
          <w:sz w:val="20"/>
          <w:szCs w:val="20"/>
        </w:rPr>
        <w:t xml:space="preserve">[19] Demšar, J. (2006). Statistical comparisons of classifiers over multiple data sets. Journal of Machine Learning Research, 7, 1–30.</w:t>
      </w:r>
    </w:p>
    <w:p>
      <w:pPr>
        <w:spacing w:after="120"/>
        <w:ind w:left="360" w:hanging="360"/>
        <w:jc w:val="both"/>
      </w:pPr>
      <w:r>
        <w:rPr>
          <w:sz w:val="20"/>
          <w:szCs w:val="20"/>
        </w:rPr>
        <w:t xml:space="preserve">[20] Fateh, A., Rezvani, Y., Moayedi, S., Rezvani, S., Fateh, F., Fateh, M., &amp; Abolghasemi, V. (2026). BRISC: Annotated dataset for brain tumor segmentation and classification. Scientific Data.</w:t>
      </w:r>
    </w:p>
    <w:p>
      <w:pPr>
        <w:spacing w:after="120"/>
        <w:ind w:left="360" w:hanging="360"/>
        <w:jc w:val="both"/>
      </w:pPr>
      <w:r>
        <w:rPr>
          <w:sz w:val="20"/>
          <w:szCs w:val="20"/>
        </w:rPr>
        <w:t xml:space="preserve">[21] Raghu, M., Zhang, C., Kleinberg, J., &amp; Bengio, S. (2019). Transfusion: Understanding transfer learning for medical imaging. In Advances in Neural Information Processing Systems (NeurIPS) 32.</w:t>
      </w:r>
    </w:p>
    <w:p>
      <w:pPr>
        <w:spacing w:after="120"/>
        <w:ind w:left="360" w:hanging="360"/>
        <w:jc w:val="both"/>
      </w:pPr>
      <w:r>
        <w:rPr>
          <w:sz w:val="20"/>
          <w:szCs w:val="20"/>
        </w:rPr>
        <w:t xml:space="preserve">[22] Zhang, R., Pei, C., Shi, J., &amp; Wang, S. (2024). Construction and validation of a general medical image dataset for pretraining. Journal of Imaging Informatics in Medicine.</w:t>
      </w:r>
    </w:p>
    <w:p>
      <w:pPr>
        <w:spacing w:after="120"/>
        <w:ind w:left="360" w:hanging="360"/>
        <w:jc w:val="both"/>
      </w:pPr>
      <w:r>
        <w:rPr>
          <w:sz w:val="20"/>
          <w:szCs w:val="20"/>
        </w:rPr>
        <w:t xml:space="preserve">[23] Bouhafra, S., &amp; El Bahi, H. (2025). Deep learning approaches for brain tumor detection and classification using MRI images (2020 to 2024): A systematic review. Journal of Imaging Informatics in Medicine, 38(3), 1403–1433.</w:t>
      </w:r>
    </w:p>
    <w:p>
      <w:pPr>
        <w:spacing w:after="120"/>
        <w:ind w:left="360" w:hanging="360"/>
        <w:jc w:val="both"/>
      </w:pPr>
      <w:r>
        <w:rPr>
          <w:sz w:val="20"/>
          <w:szCs w:val="20"/>
        </w:rPr>
        <w:t xml:space="preserve">[24] An, C., Park, Y. W., Ahn, S. S., Han, K., Kim, H., &amp; Lee, S.-K. (2021). Radiomics machine learning study with a small sample size: Single random training-test set split may lead to unreliable results. PLOS ONE, 16(8), e0256152.</w:t>
      </w:r>
    </w:p>
    <w:p>
      <w:pPr>
        <w:spacing w:after="120"/>
        <w:ind w:left="360" w:hanging="360"/>
        <w:jc w:val="both"/>
      </w:pPr>
      <w:r>
        <w:rPr>
          <w:sz w:val="20"/>
          <w:szCs w:val="20"/>
        </w:rPr>
        <w:t xml:space="preserve">[25] Pacal, I., Celik, O., Bayram, B., &amp; Cunha, A. (2024). Enhancing EfficientNetv2 with global and efficient channel attention mechanisms for accurate MRI-based brain tumor classification. Cluster Computing.</w:t>
      </w:r>
    </w:p>
    <w:p>
      <w:pPr>
        <w:spacing w:after="120"/>
        <w:ind w:left="360" w:hanging="360"/>
        <w:jc w:val="both"/>
      </w:pPr>
      <w:r>
        <w:rPr>
          <w:sz w:val="20"/>
          <w:szCs w:val="20"/>
        </w:rPr>
        <w:t xml:space="preserve">[26] Saha, S., Hemal, M. M., Eidmum, M. Z. A., &amp; Mridha, M. F. (2025). Knowledge distillation approach for skin cancer classification on lightweight deep learning model. Healthcare Technology Letters, 12(1), e12120.</w:t>
      </w:r>
    </w:p>
    <w:p>
      <w:pPr>
        <w:spacing w:after="120"/>
        <w:ind w:left="360" w:hanging="360"/>
        <w:jc w:val="both"/>
      </w:pPr>
      <w:r>
        <w:rPr>
          <w:sz w:val="20"/>
          <w:szCs w:val="20"/>
        </w:rPr>
        <w:t xml:space="preserve">[27] Lin, T.-Y., Goyal, P., Girshick, R., He, K., &amp; Dollár, P. (2017). Focal loss for dense object detection. In Proceedings of the IEEE International Conference on Computer Vision (ICCV), 2980–2988.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6"/>
        <w:szCs w:val="16"/>
      </w:rPr>
      <w:t xml:space="preserve">KD-GAMS-Net: Knowledge Distillation and a Leakage-Audit Case Study for Brain Tumor MRI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rFonts w:ascii="Times New Roman" w:cs="Times New Roman" w:eastAsia="Times New Roman" w:hAnsi="Times New Roman"/>
      <w:b/>
      <w:bCs/>
      <w:sz w:val="26"/>
      <w:szCs w:val="26"/>
    </w:rPr>
  </w:style>
  <w:style w:type="paragraph" w:styleId="Heading2">
    <w:name w:val="Heading 2"/>
    <w:basedOn w:val="Normal"/>
    <w:next w:val="Normal"/>
    <w:pPr>
      <w:spacing w:after="120" w:before="24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c3445c2260745ec2d10641cac3f40b643c0bbe.png"/><Relationship Id="rId10" Type="http://schemas.openxmlformats.org/officeDocument/2006/relationships/image" Target="media/16b9bc191fe1232f692f4f77504fb5c79abc84b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2026-09-14T09:03:33.762Z</dcterms:created>
  <dcterms:modified xsi:type="dcterms:W3CDTF">2026-09-14T09:03:33.762Z</dcterms:modified>
</cp:coreProperties>
</file>

<file path=docProps/custom.xml><?xml version="1.0" encoding="utf-8"?>
<Properties xmlns="http://schemas.openxmlformats.org/officeDocument/2006/custom-properties" xmlns:vt="http://schemas.openxmlformats.org/officeDocument/2006/docPropsVTypes"/>
</file>