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aps/>
          <w:color w:val="14708E"/>
          <w:sz w:val="22"/>
          <w:szCs w:val="22"/>
        </w:rPr>
        <w:t xml:space="preserve">PROJECT PROPOSAL</w:t>
      </w:r>
    </w:p>
    <w:p>
      <w:pPr>
        <w:spacing w:after="60" w:before="160"/>
        <w:jc w:val="center"/>
      </w:pPr>
      <w:r>
        <w:rPr>
          <w:b/>
          <w:bCs/>
          <w:color w:val="12303F"/>
          <w:sz w:val="52"/>
          <w:szCs w:val="52"/>
        </w:rPr>
        <w:t xml:space="preserve">Reading Resistance</w:t>
      </w:r>
    </w:p>
    <w:p>
      <w:pPr>
        <w:spacing w:after="240"/>
        <w:jc w:val="center"/>
      </w:pPr>
      <w:r>
        <w:rPr>
          <w:i/>
          <w:iCs/>
          <w:color w:val="3A4A57"/>
          <w:sz w:val="26"/>
          <w:szCs w:val="26"/>
        </w:rPr>
        <w:t xml:space="preserve">An Interpretable Machine-Learning Classifier for Predicting Antibiotic Resistance from Bacterial Genomes, with an Honest Benchmark</w:t>
      </w:r>
    </w:p>
    <w:p>
      <w:pPr>
        <w:pBdr>
          <w:top w:val="single" w:color="14708E" w:sz="6"/>
        </w:pBdr>
        <w:spacing w:before="200"/>
        <w:jc w:val="center"/>
      </w:pPr>
    </w:p>
    <w:p>
      <w:pPr>
        <w:spacing w:before="240"/>
      </w:pP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Category:  </w:t>
      </w:r>
      <w:r>
        <w:rPr>
          <w:sz w:val="20"/>
          <w:szCs w:val="20"/>
        </w:rPr>
        <w:t xml:space="preserve">Artificial Intelligence applied to Life Sciences / Microbial Genomics</w:t>
      </w: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Type:  </w:t>
      </w:r>
      <w:r>
        <w:rPr>
          <w:sz w:val="20"/>
          <w:szCs w:val="20"/>
        </w:rPr>
        <w:t xml:space="preserve">Two-person computational research project (no wet-lab required)</w:t>
      </w: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Team:  </w:t>
      </w:r>
      <w:r>
        <w:rPr>
          <w:sz w:val="20"/>
          <w:szCs w:val="20"/>
        </w:rPr>
        <w:t xml:space="preserve">Software engineer (ML &amp; pipeline) + M.Sc. Microbiology (domain &amp; validation)</w:t>
      </w: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Timeline:  </w:t>
      </w:r>
      <w:r>
        <w:rPr>
          <w:sz w:val="20"/>
          <w:szCs w:val="20"/>
        </w:rPr>
        <w:t xml:space="preserve">Four-week sprint</w:t>
      </w: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Authors:  </w:t>
      </w:r>
      <w:r>
        <w:rPr>
          <w:sz w:val="20"/>
          <w:szCs w:val="20"/>
        </w:rPr>
        <w:t xml:space="preserve">____________________________</w:t>
      </w:r>
    </w:p>
    <w:p>
      <w:pPr>
        <w:spacing w:after="60"/>
        <w:jc w:val="center"/>
      </w:pPr>
      <w:r>
        <w:rPr>
          <w:b/>
          <w:bCs/>
          <w:color w:val="41576B"/>
          <w:sz w:val="20"/>
          <w:szCs w:val="20"/>
        </w:rPr>
        <w:t xml:space="preserve">Date:  </w:t>
      </w:r>
      <w:r>
        <w:rPr>
          <w:sz w:val="20"/>
          <w:szCs w:val="20"/>
        </w:rPr>
        <w:t xml:space="preserve">____________________________</w:t>
      </w:r>
    </w:p>
    <w:p>
      <w:r>
        <w:br w:type="page"/>
      </w:r>
    </w:p>
    <w:p>
      <w:pPr>
        <w:spacing w:after="120"/>
      </w:pPr>
      <w:r>
        <w:rPr>
          <w:b/>
          <w:bCs/>
          <w:color w:val="12303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Antibiotic resistance is one of the defining global-health threats of the century; on current trends, drug-resistant infections are projected to become a leading cause of death worldwide. Deciding whether a bacterial strain will resist a given antibiotic normally requires days of laboratory culturing. Because a strain’s </w:t>
      </w:r>
      <w:r>
        <w:rPr>
          <w:i/>
          <w:iCs/>
          <w:color w:val="222222"/>
          <w:sz w:val="21"/>
          <w:szCs w:val="21"/>
        </w:rPr>
        <w:t xml:space="preserve">genome</w:t>
      </w:r>
      <w:r>
        <w:rPr>
          <w:color w:val="222222"/>
          <w:sz w:val="21"/>
          <w:szCs w:val="21"/>
        </w:rPr>
        <w:t xml:space="preserve"> already carries the determinants of its resistance, that decision can, in principle, be read directly from sequence.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project builds an </w:t>
      </w:r>
      <w:r>
        <w:rPr>
          <w:b/>
          <w:bCs/>
          <w:color w:val="222222"/>
          <w:sz w:val="21"/>
          <w:szCs w:val="21"/>
        </w:rPr>
        <w:t xml:space="preserve">interpretable machine-learning classifier</w:t>
      </w:r>
      <w:r>
        <w:rPr>
          <w:color w:val="222222"/>
          <w:sz w:val="21"/>
          <w:szCs w:val="21"/>
        </w:rPr>
        <w:t xml:space="preserve"> that predicts, from a bacterial genome, whether a strain is </w:t>
      </w:r>
      <w:r>
        <w:rPr>
          <w:b/>
          <w:bCs/>
          <w:color w:val="222222"/>
          <w:sz w:val="21"/>
          <w:szCs w:val="21"/>
        </w:rPr>
        <w:t xml:space="preserve">resistant or susceptible</w:t>
      </w:r>
      <w:r>
        <w:rPr>
          <w:color w:val="222222"/>
          <w:sz w:val="21"/>
          <w:szCs w:val="21"/>
        </w:rPr>
        <w:t xml:space="preserve"> to each of several antibiotics — and, unlike a black box, names the genes and mutations behind every call. Its defining commitment is an </w:t>
      </w:r>
      <w:r>
        <w:rPr>
          <w:b/>
          <w:bCs/>
          <w:color w:val="222222"/>
          <w:sz w:val="21"/>
          <w:szCs w:val="21"/>
        </w:rPr>
        <w:t xml:space="preserve">honest benchmark</w:t>
      </w:r>
      <w:r>
        <w:rPr>
          <w:color w:val="222222"/>
          <w:sz w:val="21"/>
          <w:szCs w:val="21"/>
        </w:rPr>
        <w:t xml:space="preserve">: the model is validated with a phylogeny-aware split (so it must generalize to unseen bacterial lineages, not memorize clones) and compared head-to-head against a transparent known-resistance-gene baseline and against published methods.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work is fully computational, uses only public datasets, runs on a laptop, and is scoped to a four-week sprint. It is delivered by a two-person team whose skills are complementary by design: a software engineer owning the pipeline and the machine learning, and a microbiology M.Sc. owning organism and drug selection, label quality, and the biological validation that makes the results defensible.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  Background &amp; Problem Statement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1.1  Why this matters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Bacteria acquire resistance by carrying specific genes (for example enzymes that destroy an antibiotic) or by point mutations in the drug’s target. Standard phenotypic testing — growing the strain against the drug — is accurate but slow. Genome-based prediction promises a far faster route, and whole-genome sequencing of clinical isolates is now routine, which is why large public collections of genomes paired with laboratory resistance phenotypes already exist.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1.2  The gap this project fills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Genome-to-resistance prediction is an active field, but two things separate a credible project from a naive one, and both are central here. First, bacterial genomes are clonal, so a careless random train/test split lets the model memorize a resistant lineage and be rewarded for recognizing its near-twins — inflating accuracy dramatically. Second, if a model simply detects a known resistance gene, it is a database lookup, not a contribution; the value comes from rigorous, honest evaluation of what the model adds over that baseline.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2  Research Question &amp; Hypothesis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Research question.</w:t>
      </w:r>
      <w:r>
        <w:rPr>
          <w:color w:val="222222"/>
          <w:sz w:val="21"/>
          <w:szCs w:val="21"/>
        </w:rPr>
        <w:t xml:space="preserve">  Can an interpretable model predict antibiotic resistance (resistant vs. susceptible) for a chosen pathogen directly from genomic features, generalize to bacterial lineages it has never seen, and be honestly benchmarked against a transparent known-gene baseline and published methods?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Hypothesis.</w:t>
      </w:r>
      <w:r>
        <w:rPr>
          <w:color w:val="222222"/>
          <w:sz w:val="21"/>
          <w:szCs w:val="21"/>
        </w:rPr>
        <w:t xml:space="preserve">  A gradient-boosted model trained on resistance-determinant features, evaluated under a phylogeny-aware split, will (a) achieve strong per-drug discrimination on unseen lineages, (b) match or exceed a known-gene rules baseline — especially by reducing clinically dangerous very-major errors — and (c) surface top features that correspond to established resistance mechanisms.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3  Objectives</w:t>
      </w:r>
    </w:p>
    <w:p>
      <w:pPr>
        <w:spacing w:after="80" w:line="276"/>
      </w:pPr>
      <w:r>
        <w:rPr>
          <w:b/>
          <w:bCs/>
          <w:color w:val="222222"/>
          <w:sz w:val="21"/>
          <w:szCs w:val="21"/>
        </w:rPr>
        <w:t xml:space="preserve">Primary objective</w:t>
      </w:r>
      <w:r>
        <w:rPr>
          <w:color w:val="222222"/>
          <w:sz w:val="21"/>
          <w:szCs w:val="21"/>
        </w:rPr>
        <w:t xml:space="preserve">:  deliver a validated, interpretable classifier that predicts resistant/susceptible per antibiotic for the chosen organism.</w:t>
      </w:r>
    </w:p>
    <w:p>
      <w:pPr>
        <w:spacing w:after="40" w:line="276"/>
      </w:pPr>
      <w:r>
        <w:rPr>
          <w:b/>
          <w:bCs/>
          <w:color w:val="222222"/>
          <w:sz w:val="21"/>
          <w:szCs w:val="21"/>
        </w:rPr>
        <w:t xml:space="preserve">Secondary objectives: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Assemble a clean, versioned, lineage-annotated genome–feature dataset from public sources.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Implement a phylogeny-aware split and prove no lineage leakage between train and test.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Benchmark honestly against a known-gene rules baseline and published performance, using clinical error rates (very-major and major errors) alongside AUC.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Produce SHAP explanations per drug and validate the top determinants against known biology.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Ship a demo: input a genome, receive per-drug resistant/susceptible calls with the determinants behind each.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4  Novelty &amp; Competitive Positioning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Four choices separate this from a lookup script or a leaky notebook: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Honest benchmark. </w:t>
      </w:r>
      <w:r>
        <w:rPr>
          <w:color w:val="222222"/>
          <w:sz w:val="21"/>
          <w:szCs w:val="21"/>
        </w:rPr>
        <w:t xml:space="preserve">The known-gene rules classifier is treated as a first-class baseline; the claim is about measured added value, not a headline accuracy number.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Phylogeny-aware evaluation. </w:t>
      </w:r>
      <w:r>
        <w:rPr>
          <w:color w:val="222222"/>
          <w:sz w:val="21"/>
          <w:szCs w:val="21"/>
        </w:rPr>
        <w:t xml:space="preserve">Testing on unseen lineages is the bacterial analog of preventing data leakage, and is what proves the model generalizes.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Interpretability. </w:t>
      </w:r>
      <w:r>
        <w:rPr>
          <w:color w:val="222222"/>
          <w:sz w:val="21"/>
          <w:szCs w:val="21"/>
        </w:rPr>
        <w:t xml:space="preserve">Every prediction ships with the genes and mutations that drove it, biologically validated by a microbiologist.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222222"/>
          <w:sz w:val="21"/>
          <w:szCs w:val="21"/>
        </w:rPr>
        <w:t xml:space="preserve">Clinically honest metrics. </w:t>
      </w:r>
      <w:r>
        <w:rPr>
          <w:color w:val="222222"/>
          <w:sz w:val="21"/>
          <w:szCs w:val="21"/>
        </w:rPr>
        <w:t xml:space="preserve">Reporting very-major and major error rates — not just accuracy — shows the project understands what a wrong call costs.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directly complements the wet-lab antimicrobial-resistance projects that already succeed in this competition — it is the </w:t>
      </w:r>
      <w:r>
        <w:rPr>
          <w:i/>
          <w:iCs/>
          <w:color w:val="222222"/>
          <w:sz w:val="21"/>
          <w:szCs w:val="21"/>
        </w:rPr>
        <w:t xml:space="preserve">computational twin</w:t>
      </w:r>
      <w:r>
        <w:rPr>
          <w:color w:val="222222"/>
          <w:sz w:val="21"/>
          <w:szCs w:val="21"/>
        </w:rPr>
        <w:t xml:space="preserve"> of that proven theme.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5  Data Sources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All public, all downloadable, no laboratory work.</w:t>
      </w:r>
    </w:p>
    <w:tbl>
      <w:tblPr>
        <w:tblW w:type="dxa" w:w="9000"/>
        <w:tblBorders>
          <w:top w:val="single" w:color="C7D0D8" w:sz="4"/>
          <w:left w:val="single" w:color="C7D0D8" w:sz="4"/>
          <w:bottom w:val="single" w:color="C7D0D8" w:sz="4"/>
          <w:right w:val="single" w:color="C7D0D8" w:sz="4"/>
          <w:insideH w:val="single" w:color="DCE3EA" w:sz="4"/>
          <w:insideV w:val="single" w:color="DCE3EA" w:sz="4"/>
        </w:tblBorders>
      </w:tblPr>
      <w:tblGrid>
        <w:gridCol w:w="1700"/>
        <w:gridCol w:w="2400"/>
        <w:gridCol w:w="4900"/>
      </w:tblGrid>
      <w:tr>
        <w:trPr>
          <w:tblHeader/>
        </w:trPr>
        <w:tc>
          <w:tcPr>
            <w:tcW w:type="dxa" w:w="17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9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</w:tr>
      <w:tr>
        <w:trPr>
          <w:tblHeader w:val="false"/>
        </w:trPr>
        <w:tc>
          <w:tcPr>
            <w:tcW w:type="dxa" w:w="1700"/>
            <w:shd w:fill="EA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Genomes + labels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BV-BRC (formerly PATRIC)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Assembled bacterial genomes paired with laboratory resistant / susceptible phenotypes across many antibiotics.</w:t>
            </w:r>
          </w:p>
        </w:tc>
      </w:tr>
      <w:tr>
        <w:trPr>
          <w:tblHeader w:val="false"/>
        </w:trPr>
        <w:tc>
          <w:tcPr>
            <w:tcW w:type="dxa" w:w="1700"/>
            <w:shd w:fill="F4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Reference determinants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AMRFinderPlus / RGI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Catalog of known resistance genes and point mutations, and the tools to annotate each genome into a feature matrix.</w:t>
            </w:r>
          </w:p>
        </w:tc>
      </w:tr>
      <w:tr>
        <w:trPr>
          <w:tblHeader w:val="false"/>
        </w:trPr>
        <w:tc>
          <w:tcPr>
            <w:tcW w:type="dxa" w:w="1700"/>
            <w:shd w:fill="EA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 reference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Published AMR-ML studies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Reported performance on the same organism, for an honest external comparison of results.</w:t>
            </w:r>
          </w:p>
        </w:tc>
      </w:tr>
    </w:tbl>
    <w:p>
      <w:pPr>
        <w:spacing w:before="100"/>
      </w:pPr>
      <w:r>
        <w:rPr>
          <w:i/>
          <w:iCs/>
          <w:color w:val="6B7A88"/>
          <w:sz w:val="17"/>
          <w:szCs w:val="17"/>
        </w:rPr>
        <w:t xml:space="preserve">The specific organism and antibiotics are chosen in Week 1, data-driven, favoring those with abundant, balanced resistant/susceptible genomes.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6  Methodology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6.1  Organism &amp; drug selection (Week 1, data-driven)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microbiologist and engineer jointly select one pathogen and a handful of antibiotics with enough well-labeled, class-balanced genomes to train and test honestly. Choosing from the data — rather than committing blind — removes the single largest scheduling risk in a short sprint.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6.2  Feature extraction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Each genome is annotated with AMRFinderPlus / RGI into a compact, interpretable feature matrix: presence or absence of known resistance genes, plus established resistance-conferring point mutations (for example gyrA for fluoroquinolones, rpoB for rifampicin). This determinant-based representation is fast to build and biologically meaningful — the right choice for a four-week timeline. Whole-genome k-mer features are noted as an out-of-scope extension.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6.3  Phylogeny-aware evaluation (the decisive choice)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Because bacteria are clonal, a random split leaks lineage identity and inflates every metric. Train and test sets are therefore separated by lineage (for example by multi-locus sequence type or phylogenetic cluster), so the model is forced to generalize to bacterial populations it has never seen. This is the project’s central rigor signal; demonstrating awareness of population-structure leakage is what a knowledgeable judge looks for.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6.4  Modeling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One model per antibiotic. A logistic-regression baseline sets a transparent floor; the primary model is gradient boosting (XGBoost / LightGBM), well suited to sparse determinant features and paired cleanly with SHAP. Output probabilities are calibrated.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6.5  Evaluation &amp; the honest benchmark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Per drug, the model reports ROC-AUC and PR-AUC, and — critically — very-major error rate (a resistant strain wrongly called susceptible, the dangerous mistake) and major error rate. It is then compared against two references: a transparent rules baseline that predicts resistance whenever a known resistance gene is present, and published performance on the same organism. The story is not “we beat everyone”; it is “here, honestly measured, is what the model adds.”</w:t>
      </w:r>
    </w:p>
    <w:p>
      <w:pPr>
        <w:pStyle w:val="Heading2"/>
        <w:spacing w:after="80" w:before="200"/>
      </w:pPr>
      <w:r>
        <w:rPr>
          <w:b/>
          <w:bCs/>
          <w:color w:val="14708E"/>
          <w:sz w:val="24"/>
          <w:szCs w:val="24"/>
        </w:rPr>
        <w:t xml:space="preserve">6.6  Interpretability &amp; biological validation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Global SHAP identifies the determinants driving each drug’s predictions. The microbiologist then checks them against known mechanisms: do the top features match the biology the field already understands? Agreement is strong evidence the model learned real signal; any surprise is either an artifact to fix or a genuinely interesting lead.</w:t>
      </w:r>
    </w:p>
    <w:p>
      <w:pPr>
        <w:pBdr>
          <w:bottom w:val="single" w:color="DCE3EA" w:sz="6"/>
        </w:pBdr>
        <w:spacing w:after="160" w:before="6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7  System Architecture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system is an eight-layer pipeline: public genomes and phenotypes feed ingestion and quality control; a feature layer annotates each genome into resistance-determinant features; the matrix is split by lineage; per-drug models are trained and calibrated; evaluation benchmarks against the rules baseline with clinical error rates; interpretability attaches determinants to every call; and an application layer exposes it as a demo.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717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A88"/>
          <w:sz w:val="17"/>
          <w:szCs w:val="17"/>
        </w:rPr>
        <w:t xml:space="preserve">Figure 1 — Layered system architecture. The phylogeny-aware split (Layer 4) is the rigor differentiator.</w:t>
      </w:r>
    </w:p>
    <w:p>
      <w:pPr>
        <w:pBdr>
          <w:bottom w:val="single" w:color="DCE3EA" w:sz="6"/>
        </w:pBdr>
        <w:spacing w:after="160" w:before="6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8  End-to-End Workflow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workflow runs from raw genomes to an explained, benchmarked prediction, with two decision gates that protect the result: a check that each drug has enough resistant and susceptible genomes to model honestly, and a generalization gate that, if the model fails to hold up on unseen lineages, loops back to revisit the split rather than publish an inflated number.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702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A88"/>
          <w:sz w:val="17"/>
          <w:szCs w:val="17"/>
        </w:rPr>
        <w:t xml:space="preserve">Figure 2 — End-to-end workflow with decision gates and feedback loops.</w:t>
      </w:r>
    </w:p>
    <w:p>
      <w:pPr>
        <w:pBdr>
          <w:bottom w:val="single" w:color="DCE3EA" w:sz="6"/>
        </w:pBdr>
        <w:spacing w:after="160" w:before="6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9  Four-Week Sprint Roadmap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Delivery is compressed into four weeks and organized around a single principle: build a thin, ugly-but-complete pipeline for one drug in Week 1, then broaden and polish. Each week ends with a defensible artifact, and Week 1 carries an explicit go/no-go.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A88"/>
          <w:sz w:val="17"/>
          <w:szCs w:val="17"/>
        </w:rPr>
        <w:t xml:space="preserve">Figure 3 — Four-week sprint roadmap with team lanes and the Week-1 go/no-go.</w:t>
      </w:r>
    </w:p>
    <w:tbl>
      <w:tblPr>
        <w:tblW w:type="dxa" w:w="9600"/>
        <w:tblBorders>
          <w:top w:val="single" w:color="C7D0D8" w:sz="4"/>
          <w:left w:val="single" w:color="C7D0D8" w:sz="4"/>
          <w:bottom w:val="single" w:color="C7D0D8" w:sz="4"/>
          <w:right w:val="single" w:color="C7D0D8" w:sz="4"/>
          <w:insideH w:val="single" w:color="DCE3EA" w:sz="4"/>
          <w:insideV w:val="single" w:color="DCE3EA" w:sz="4"/>
        </w:tblBorders>
      </w:tblPr>
      <w:tblGrid>
        <w:gridCol w:w="1300"/>
        <w:gridCol w:w="4400"/>
        <w:gridCol w:w="3900"/>
      </w:tblGrid>
      <w:tr>
        <w:trPr>
          <w:tblHeader/>
        </w:trPr>
        <w:tc>
          <w:tcPr>
            <w:tcW w:type="dxa" w:w="13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4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9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artifact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W1 · Foundations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 organism &amp; drugs; acquire BV-BRC data; annotate features; build ONE drug end-to-end; repo + decision log.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Working baseline for one drug + go/no-go decision.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W2 · Full models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Features across all chosen drugs; phylogeny-aware splits; gradient boosting; tuning; calibration; VME/ME metrics.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Validated multi-drug models.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W3 · Interpret + prove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SHAP per drug; biological validation; honest benchmark table; demo interface.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Results + working demo.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W4 · Deliver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Write-up; poster; limitations &amp; ethics; reproducibility; defense prep.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Submission-ready package.</w:t>
            </w:r>
          </w:p>
        </w:tc>
      </w:tr>
    </w:tbl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10  Evaluation Metrics &amp; Success Criteria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Per drug: ROC-AUC and PR-AUC for discrimination, reliability curves for calibration, and very-major and major error rates for clinical safety — all reported under the phylogeny-aware split, never a random one.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Success is defined honestly. </w:t>
      </w:r>
      <w:r>
        <w:rPr>
          <w:color w:val="222222"/>
          <w:sz w:val="21"/>
          <w:szCs w:val="21"/>
        </w:rPr>
        <w:t xml:space="preserve">The target is strong per-drug discrimination on unseen lineages, a measured comparison against the known-gene baseline (ideally fewer very-major errors), and SHAP determinants that agree with known biology. “State-of-the-art on every drug” is explicitly </w:t>
      </w:r>
      <w:r>
        <w:rPr>
          <w:i/>
          <w:iCs/>
          <w:color w:val="222222"/>
          <w:sz w:val="21"/>
          <w:szCs w:val="21"/>
        </w:rPr>
        <w:t xml:space="preserve">not</w:t>
      </w:r>
      <w:r>
        <w:rPr>
          <w:color w:val="222222"/>
          <w:sz w:val="21"/>
          <w:szCs w:val="21"/>
        </w:rPr>
        <w:t xml:space="preserve"> the goal; a smaller, honestly-validated result is worth more than a large leaky one.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11  Risks &amp; Limitations</w:t>
      </w:r>
    </w:p>
    <w:tbl>
      <w:tblPr>
        <w:tblW w:type="dxa" w:w="9600"/>
        <w:tblBorders>
          <w:top w:val="single" w:color="C7D0D8" w:sz="4"/>
          <w:left w:val="single" w:color="C7D0D8" w:sz="4"/>
          <w:bottom w:val="single" w:color="C7D0D8" w:sz="4"/>
          <w:right w:val="single" w:color="C7D0D8" w:sz="4"/>
          <w:insideH w:val="single" w:color="DCE3EA" w:sz="4"/>
          <w:insideV w:val="single" w:color="DCE3EA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/ limitation</w:t>
            </w:r>
          </w:p>
        </w:tc>
        <w:tc>
          <w:tcPr>
            <w:tcW w:type="dxa" w:w="6200"/>
            <w:shd w:fill="14708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One-month timeline is tight for genomics.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Thin end-to-end slice in Week 1; ruthless scope discipline; determinant features (not k-mers); a Week-1 go/no-go with the ready-built BRCA project as fallback.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Population-structure leakage (the primary scientific threat).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Phylogeny-aware splits by lineage; prove no shared lineages across train/test.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“Just a database lookup” critique.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Frame the known-gene rules classifier as the explicit baseline; report what the model adds, especially reduced very-major errors.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Class imbalance / sparse phenotypes per drug.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 balanced drugs in Week 1; report PR-AUC; drop drugs with too few labels rather than overclaim.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Label and metadata noise in public data.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Quality-filter genomes; microbiologist audits phenotype labels; pin dataset versions in a manifest.</w:t>
            </w:r>
          </w:p>
        </w:tc>
      </w:tr>
    </w:tbl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12  Team &amp; Division of Labor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Software engineer</w:t>
      </w:r>
      <w:r>
        <w:rPr>
          <w:color w:val="222222"/>
          <w:sz w:val="21"/>
          <w:szCs w:val="21"/>
        </w:rPr>
        <w:t xml:space="preserve">:  data pipeline, feature extraction, phylogeny-aware splitting, modeling, calibration, SHAP tooling, and the demo. </w:t>
      </w:r>
      <w:r>
        <w:rPr>
          <w:b/>
          <w:bCs/>
          <w:color w:val="222222"/>
          <w:sz w:val="21"/>
          <w:szCs w:val="21"/>
        </w:rPr>
        <w:t xml:space="preserve">Microbiologist (M.Sc.)</w:t>
      </w:r>
      <w:r>
        <w:rPr>
          <w:color w:val="222222"/>
          <w:sz w:val="21"/>
          <w:szCs w:val="21"/>
        </w:rPr>
        <w:t xml:space="preserve">:  organism and drug selection, phenotype-label quality control, biological validation of SHAP determinants, interpretation of clinical error trade-offs, and the limitations and defense narrative. Both must be able to explain the parts they present; scientific decisions are shared and logged.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13  Ethical Considerations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tool is a research and decision-support aid, not a diagnostic device; genotype-based prediction complements but does not replace phenotypic susceptibility testing, and a missed resistant call has real clinical cost — hence the emphasis on very-major error rates. Only public, de-identified genomic data are used. Reference databases are geographically biased toward well-sequenced regions and pathogens, which limits generalization; this is stated plainly as a limitation. Interpretability is itself an ethical safeguard, keeping the model auditable rather than opaque.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14  Expected Outcomes &amp; Deliverables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Per-drug interpretable resistant/susceptible classifiers for the chosen organism.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A phylogeny-aware evaluation with per-drug ROC-AUC, PR-AUC, and very-major / major error rates.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An honest benchmark table versus the known-gene baseline and published methods.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SHAP determinant rankings validated against known resistance mechanisms.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A working demo: genome in, per-drug calls plus the determinants behind them.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222222"/>
          <w:sz w:val="21"/>
          <w:szCs w:val="21"/>
        </w:rPr>
        <w:t xml:space="preserve">A written report / paper, a poster, and a reproducible code + data-versioning package.</w:t>
      </w:r>
    </w:p>
    <w:p>
      <w:pPr>
        <w:pBdr>
          <w:bottom w:val="single" w:color="DCE3EA" w:sz="6"/>
        </w:pBdr>
        <w:spacing w:after="160" w:before="60"/>
      </w:pPr>
    </w:p>
    <w:p>
      <w:pPr>
        <w:pStyle w:val="Heading1"/>
        <w:spacing w:after="120" w:before="300"/>
      </w:pPr>
      <w:r>
        <w:rPr>
          <w:b/>
          <w:bCs/>
          <w:color w:val="12303F"/>
          <w:sz w:val="30"/>
          <w:szCs w:val="30"/>
        </w:rPr>
        <w:t xml:space="preserve">15  Selected References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[1]  </w:t>
      </w:r>
      <w:r>
        <w:rPr>
          <w:color w:val="333333"/>
          <w:sz w:val="18"/>
          <w:szCs w:val="18"/>
        </w:rPr>
        <w:t xml:space="preserve">Nguyen, M. et al. Using machine learning to predict antimicrobial minimum inhibitory concentrations and associated genomic features for nontyphoidal Salmonella. Journal of Clinical Microbiology (2019).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[2]  </w:t>
      </w:r>
      <w:r>
        <w:rPr>
          <w:color w:val="333333"/>
          <w:sz w:val="18"/>
          <w:szCs w:val="18"/>
        </w:rPr>
        <w:t xml:space="preserve">Moradigaravand, D. et al. Prediction of antibiotic resistance in Escherichia coli from large-scale pan-genome data. PLoS Computational Biology (2018).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[3]  </w:t>
      </w:r>
      <w:r>
        <w:rPr>
          <w:color w:val="333333"/>
          <w:sz w:val="18"/>
          <w:szCs w:val="18"/>
        </w:rPr>
        <w:t xml:space="preserve">Hicks, A. L. et al. Evaluating the reliability of machine learning for antimicrobial-resistance prediction: the role of population structure. PLoS Computational Biology (2019).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[4]  </w:t>
      </w:r>
      <w:r>
        <w:rPr>
          <w:color w:val="333333"/>
          <w:sz w:val="18"/>
          <w:szCs w:val="18"/>
        </w:rPr>
        <w:t xml:space="preserve">Olson, R. et al. / Davis, J. J. et al. The BV-BRC (formerly PATRIC) Bioinformatics Resource Center. Nucleic Acids Research.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[5]  </w:t>
      </w:r>
      <w:r>
        <w:rPr>
          <w:color w:val="333333"/>
          <w:sz w:val="18"/>
          <w:szCs w:val="18"/>
        </w:rPr>
        <w:t xml:space="preserve">Alcock, B. P. et al. CARD 2023: expanded curation and the Comprehensive Antibiotic Resistance Database. Nucleic Acids Research (2023).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[6]  </w:t>
      </w:r>
      <w:r>
        <w:rPr>
          <w:color w:val="333333"/>
          <w:sz w:val="18"/>
          <w:szCs w:val="18"/>
        </w:rPr>
        <w:t xml:space="preserve">Feldgarden, M. et al. AMRFinderPlus and the Reference Gene Catalog. Scientific Reports (2021).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[7]  </w:t>
      </w:r>
      <w:r>
        <w:rPr>
          <w:color w:val="333333"/>
          <w:sz w:val="18"/>
          <w:szCs w:val="18"/>
        </w:rPr>
        <w:t xml:space="preserve">Lundberg, S. M. &amp; Lee, S.-I. A unified approach to interpreting model predictions (SHAP). NeurIPS (2017).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[8]  </w:t>
      </w:r>
      <w:r>
        <w:rPr>
          <w:color w:val="333333"/>
          <w:sz w:val="18"/>
          <w:szCs w:val="18"/>
        </w:rPr>
        <w:t xml:space="preserve">O’Neill, J. Tackling Drug-Resistant Infections Globally: Review on Antimicrobial Resistance (2016).</w:t>
      </w:r>
    </w:p>
    <w:p>
      <w:pPr>
        <w:spacing w:after="70" w:line="264"/>
        <w:ind w:left="360" w:hanging="360"/>
      </w:pPr>
      <w:r>
        <w:rPr>
          <w:b/>
          <w:bCs/>
          <w:color w:val="41576B"/>
          <w:sz w:val="18"/>
          <w:szCs w:val="18"/>
        </w:rPr>
        <w:t xml:space="preserve">[9]  </w:t>
      </w:r>
      <w:r>
        <w:rPr>
          <w:color w:val="333333"/>
          <w:sz w:val="18"/>
          <w:szCs w:val="18"/>
        </w:rPr>
        <w:t xml:space="preserve">World Health Organization. Global Antimicrobial Resistance and Use Surveillance System (GLASS) report.</w:t>
      </w:r>
    </w:p>
    <w:p>
      <w:pPr>
        <w:spacing w:before="120"/>
      </w:pPr>
      <w:r>
        <w:rPr>
          <w:i/>
          <w:iCs/>
          <w:color w:val="6B7A88"/>
          <w:sz w:val="17"/>
          <w:szCs w:val="17"/>
        </w:rPr>
        <w:t xml:space="preserve">Reference metadata should be verified and expanded in Week 1.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B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7B3"/>
        <w:sz w:val="15"/>
        <w:szCs w:val="15"/>
      </w:rPr>
      <w:t xml:space="preserve">Reading Resistance — AMR Prediction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92b6e5feeb0ffef1720275f87d414ad46c0f3a.png"/><Relationship Id="rId10" Type="http://schemas.openxmlformats.org/officeDocument/2006/relationships/image" Target="media/23bba0e1205ec1f271f31bf26c77d31a9566aabb.png"/><Relationship Id="rId11" Type="http://schemas.openxmlformats.org/officeDocument/2006/relationships/image" Target="media/cdd632a556ca92d3d8c8d53459855846f5f6031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Project Proposal</dc:creator>
  <cp:lastModifiedBy>Un-named</cp:lastModifiedBy>
  <cp:revision>1</cp:revision>
  <dcterms:created xsi:type="dcterms:W3CDTF">2026-07-07T08:51:35.963Z</dcterms:created>
  <dcterms:modified xsi:type="dcterms:W3CDTF">2026-07-07T08:51:35.964Z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