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  <w:tblGridChange w:id="0">
          <w:tblGrid>
            <w:gridCol w:w="3225"/>
            <w:gridCol w:w="3015"/>
            <w:gridCol w:w="3255"/>
            <w:gridCol w:w="2670"/>
            <w:gridCol w:w="1500"/>
            <w:gridCol w:w="2160"/>
            <w:gridCol w:w="1560"/>
            <w:gridCol w:w="1275"/>
            <w:gridCol w:w="1470"/>
            <w:gridCol w:w="1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 Evaluación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(100%)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incipiente (30%)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  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WI/mip8E95EWXDJi/DQAsLCe5Q==">CgMxLjA4AHIhMWd2ZU56aWIwV1FidzNyVGpWZEw1Y1ZKUVRhT3MycEFa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2024-09-17T15:46:00Z</dcterms:created>
</cp:coreProperties>
</file>