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76337"/>
                <wp:effectExtent b="0" l="0" r="0" t="0"/>
                <wp:wrapNone/>
                <wp:docPr id="33" name=""/>
                <a:graphic>
                  <a:graphicData uri="http://schemas.microsoft.com/office/word/2010/wordprocessingGroup">
                    <wpg:wgp>
                      <wpg:cNvGrpSpPr/>
                      <wpg:grpSpPr>
                        <a:xfrm>
                          <a:off x="2226550" y="2998950"/>
                          <a:ext cx="6238875" cy="1576337"/>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Plan de Soporte y Mantenimiento</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76337"/>
                <wp:effectExtent b="0" l="0" r="0" t="0"/>
                <wp:wrapNone/>
                <wp:docPr id="3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76337"/>
                        </a:xfrm>
                        <a:prstGeom prst="rect"/>
                        <a:ln/>
                      </pic:spPr>
                    </pic:pic>
                  </a:graphicData>
                </a:graphic>
              </wp:anchor>
            </w:drawing>
          </mc:Fallback>
        </mc:AlternateContent>
      </w:r>
    </w:p>
    <w:p w:rsidR="00000000" w:rsidDel="00000000" w:rsidP="00000000" w:rsidRDefault="00000000" w:rsidRPr="00000000" w14:paraId="00000003">
      <w:pPr>
        <w:rPr>
          <w:color w:val="595959"/>
        </w:rPr>
      </w:pPr>
      <w:r w:rsidDel="00000000" w:rsidR="00000000" w:rsidRPr="00000000">
        <w:rPr>
          <w:rtl w:val="0"/>
        </w:rPr>
      </w:r>
    </w:p>
    <w:p w:rsidR="00000000" w:rsidDel="00000000" w:rsidP="00000000" w:rsidRDefault="00000000" w:rsidRPr="00000000" w14:paraId="00000004">
      <w:pPr>
        <w:rPr>
          <w:color w:val="595959"/>
        </w:rPr>
      </w:pPr>
      <w:r w:rsidDel="00000000" w:rsidR="00000000" w:rsidRPr="00000000">
        <w:rPr>
          <w:rtl w:val="0"/>
        </w:rPr>
      </w:r>
    </w:p>
    <w:p w:rsidR="00000000" w:rsidDel="00000000" w:rsidP="00000000" w:rsidRDefault="00000000" w:rsidRPr="00000000" w14:paraId="00000005">
      <w:pPr>
        <w:rPr>
          <w:color w:val="595959"/>
        </w:rPr>
      </w:pPr>
      <w:r w:rsidDel="00000000" w:rsidR="00000000" w:rsidRPr="00000000">
        <w:rPr>
          <w:rtl w:val="0"/>
        </w:rPr>
      </w:r>
    </w:p>
    <w:p w:rsidR="00000000" w:rsidDel="00000000" w:rsidP="00000000" w:rsidRDefault="00000000" w:rsidRPr="00000000" w14:paraId="00000006">
      <w:pPr>
        <w:rPr>
          <w:color w:val="595959"/>
        </w:rPr>
      </w:pPr>
      <w:r w:rsidDel="00000000" w:rsidR="00000000" w:rsidRPr="00000000">
        <w:rPr>
          <w:rtl w:val="0"/>
        </w:rPr>
      </w:r>
    </w:p>
    <w:p w:rsidR="00000000" w:rsidDel="00000000" w:rsidP="00000000" w:rsidRDefault="00000000" w:rsidRPr="00000000" w14:paraId="00000007">
      <w:pPr>
        <w:rPr>
          <w:color w:val="595959"/>
        </w:rPr>
      </w:pPr>
      <w:r w:rsidDel="00000000" w:rsidR="00000000" w:rsidRPr="00000000">
        <w:rPr>
          <w:rtl w:val="0"/>
        </w:rPr>
      </w:r>
    </w:p>
    <w:p w:rsidR="00000000" w:rsidDel="00000000" w:rsidP="00000000" w:rsidRDefault="00000000" w:rsidRPr="00000000" w14:paraId="00000008">
      <w:pPr>
        <w:rPr>
          <w:color w:val="595959"/>
        </w:rPr>
      </w:pPr>
      <w:r w:rsidDel="00000000" w:rsidR="00000000" w:rsidRPr="00000000">
        <w:rPr>
          <w:rtl w:val="0"/>
        </w:rPr>
      </w:r>
    </w:p>
    <w:p w:rsidR="00000000" w:rsidDel="00000000" w:rsidP="00000000" w:rsidRDefault="00000000" w:rsidRPr="00000000" w14:paraId="00000009">
      <w:pPr>
        <w:spacing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0A">
      <w:pPr>
        <w:spacing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0B">
      <w:pPr>
        <w:spacing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0C">
      <w:pPr>
        <w:spacing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0D">
      <w:pPr>
        <w:spacing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0E">
      <w:pPr>
        <w:spacing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0F">
      <w:pPr>
        <w:spacing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0">
      <w:pPr>
        <w:spacing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1">
      <w:pPr>
        <w:spacing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2">
      <w:pPr>
        <w:spacing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3">
      <w:pPr>
        <w:spacing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4">
      <w:pPr>
        <w:spacing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5">
      <w:pPr>
        <w:spacing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6">
      <w:pPr>
        <w:spacing w:line="278.00000000000006"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Proyecto Realizado Por:</w:t>
      </w:r>
      <w:r w:rsidDel="00000000" w:rsidR="00000000" w:rsidRPr="00000000">
        <w:rPr>
          <w:rtl w:val="0"/>
        </w:rPr>
      </w:r>
    </w:p>
    <w:p w:rsidR="00000000" w:rsidDel="00000000" w:rsidP="00000000" w:rsidRDefault="00000000" w:rsidRPr="00000000" w14:paraId="00000017">
      <w:pPr>
        <w:numPr>
          <w:ilvl w:val="0"/>
          <w:numId w:val="10"/>
        </w:numPr>
        <w:spacing w:line="278.00000000000006"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sz w:val="24"/>
          <w:szCs w:val="24"/>
          <w:rtl w:val="0"/>
        </w:rPr>
        <w:t xml:space="preserve">Matías Mateluna</w:t>
      </w:r>
    </w:p>
    <w:p w:rsidR="00000000" w:rsidDel="00000000" w:rsidP="00000000" w:rsidRDefault="00000000" w:rsidRPr="00000000" w14:paraId="00000018">
      <w:pPr>
        <w:numPr>
          <w:ilvl w:val="0"/>
          <w:numId w:val="10"/>
        </w:numPr>
        <w:spacing w:line="278.00000000000006"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sz w:val="24"/>
          <w:szCs w:val="24"/>
          <w:rtl w:val="0"/>
        </w:rPr>
        <w:t xml:space="preserve">Sebastián González</w:t>
      </w:r>
    </w:p>
    <w:p w:rsidR="00000000" w:rsidDel="00000000" w:rsidP="00000000" w:rsidRDefault="00000000" w:rsidRPr="00000000" w14:paraId="00000019">
      <w:pPr>
        <w:numPr>
          <w:ilvl w:val="0"/>
          <w:numId w:val="10"/>
        </w:numPr>
        <w:spacing w:line="278.00000000000006"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sz w:val="24"/>
          <w:szCs w:val="24"/>
          <w:rtl w:val="0"/>
        </w:rPr>
        <w:t xml:space="preserve">Sebastián Pardo</w:t>
      </w:r>
    </w:p>
    <w:p w:rsidR="00000000" w:rsidDel="00000000" w:rsidP="00000000" w:rsidRDefault="00000000" w:rsidRPr="00000000" w14:paraId="0000001A">
      <w:pPr>
        <w:spacing w:line="278.00000000000006"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Cliente:</w:t>
      </w:r>
      <w:r w:rsidDel="00000000" w:rsidR="00000000" w:rsidRPr="00000000">
        <w:rPr>
          <w:rFonts w:ascii="Aptos" w:cs="Aptos" w:eastAsia="Aptos" w:hAnsi="Aptos"/>
          <w:sz w:val="24"/>
          <w:szCs w:val="24"/>
          <w:rtl w:val="0"/>
        </w:rPr>
        <w:t xml:space="preserve"> Biblioteca Nuevo Horizonte</w:t>
      </w:r>
    </w:p>
    <w:p w:rsidR="00000000" w:rsidDel="00000000" w:rsidP="00000000" w:rsidRDefault="00000000" w:rsidRPr="00000000" w14:paraId="0000001B">
      <w:pPr>
        <w:spacing w:line="278.00000000000006"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Versión del Documento:</w:t>
      </w:r>
      <w:r w:rsidDel="00000000" w:rsidR="00000000" w:rsidRPr="00000000">
        <w:rPr>
          <w:rFonts w:ascii="Aptos" w:cs="Aptos" w:eastAsia="Aptos" w:hAnsi="Aptos"/>
          <w:sz w:val="24"/>
          <w:szCs w:val="24"/>
          <w:rtl w:val="0"/>
        </w:rPr>
        <w:t xml:space="preserve"> 1.0</w:t>
      </w:r>
    </w:p>
    <w:p w:rsidR="00000000" w:rsidDel="00000000" w:rsidP="00000000" w:rsidRDefault="00000000" w:rsidRPr="00000000" w14:paraId="0000001C">
      <w:pPr>
        <w:spacing w:line="278.00000000000006"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Fecha:</w:t>
      </w:r>
      <w:r w:rsidDel="00000000" w:rsidR="00000000" w:rsidRPr="00000000">
        <w:rPr>
          <w:rFonts w:ascii="Aptos" w:cs="Aptos" w:eastAsia="Aptos" w:hAnsi="Aptos"/>
          <w:sz w:val="24"/>
          <w:szCs w:val="24"/>
          <w:rtl w:val="0"/>
        </w:rPr>
        <w:t xml:space="preserve"> 12-12-2024</w:t>
      </w:r>
    </w:p>
    <w:p w:rsidR="00000000" w:rsidDel="00000000" w:rsidP="00000000" w:rsidRDefault="00000000" w:rsidRPr="00000000" w14:paraId="0000001D">
      <w:pPr>
        <w:spacing w:after="0" w:line="240" w:lineRule="auto"/>
        <w:rPr>
          <w:color w:val="595959"/>
        </w:rPr>
      </w:pPr>
      <w:r w:rsidDel="00000000" w:rsidR="00000000" w:rsidRPr="00000000">
        <w:rPr>
          <w:rtl w:val="0"/>
        </w:rPr>
      </w:r>
    </w:p>
    <w:p w:rsidR="00000000" w:rsidDel="00000000" w:rsidP="00000000" w:rsidRDefault="00000000" w:rsidRPr="00000000" w14:paraId="0000001E">
      <w:pPr>
        <w:spacing w:after="0" w:line="240" w:lineRule="auto"/>
        <w:rPr>
          <w:color w:val="595959"/>
        </w:rPr>
      </w:pPr>
      <w:r w:rsidDel="00000000" w:rsidR="00000000" w:rsidRPr="00000000">
        <w:rPr>
          <w:rtl w:val="0"/>
        </w:rPr>
      </w:r>
    </w:p>
    <w:p w:rsidR="00000000" w:rsidDel="00000000" w:rsidP="00000000" w:rsidRDefault="00000000" w:rsidRPr="00000000" w14:paraId="0000001F">
      <w:pPr>
        <w:spacing w:after="0" w:line="240" w:lineRule="auto"/>
        <w:rPr>
          <w:color w:val="595959"/>
        </w:rPr>
      </w:pPr>
      <w:r w:rsidDel="00000000" w:rsidR="00000000" w:rsidRPr="00000000">
        <w:rPr>
          <w:rtl w:val="0"/>
        </w:rPr>
      </w:r>
    </w:p>
    <w:tbl>
      <w:tblPr>
        <w:tblStyle w:val="Table1"/>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80"/>
        <w:gridCol w:w="7365"/>
        <w:tblGridChange w:id="0">
          <w:tblGrid>
            <w:gridCol w:w="2280"/>
            <w:gridCol w:w="7365"/>
          </w:tblGrid>
        </w:tblGridChange>
      </w:tblGrid>
      <w:tr>
        <w:trPr>
          <w:cantSplit w:val="0"/>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color w:val="1f3864"/>
                <w:rtl w:val="0"/>
              </w:rPr>
              <w:t xml:space="preserve">Alcance del Soporte</w:t>
            </w:r>
            <w:r w:rsidDel="00000000" w:rsidR="00000000" w:rsidRPr="00000000">
              <w:rPr>
                <w:rtl w:val="0"/>
              </w:rPr>
            </w:r>
          </w:p>
        </w:tc>
        <w:tc>
          <w:tcPr/>
          <w:p w:rsidR="00000000" w:rsidDel="00000000" w:rsidP="00000000" w:rsidRDefault="00000000" w:rsidRPr="00000000" w14:paraId="00000021">
            <w:pPr>
              <w:spacing w:after="240" w:before="0" w:lineRule="auto"/>
              <w:ind w:left="0" w:firstLine="0"/>
              <w:rPr>
                <w:i w:val="1"/>
                <w:color w:val="999999"/>
              </w:rPr>
            </w:pPr>
            <w:r w:rsidDel="00000000" w:rsidR="00000000" w:rsidRPr="00000000">
              <w:rPr>
                <w:i w:val="1"/>
                <w:color w:val="999999"/>
                <w:rtl w:val="0"/>
              </w:rPr>
              <w:t xml:space="preserve">Definición de las áreas cubiertas (p.ej., corrección de errores, actualizaciones menores, consultas técnicas).</w:t>
            </w:r>
          </w:p>
          <w:p w:rsidR="00000000" w:rsidDel="00000000" w:rsidP="00000000" w:rsidRDefault="00000000" w:rsidRPr="00000000" w14:paraId="00000022">
            <w:pPr>
              <w:spacing w:after="240" w:before="0" w:lineRule="auto"/>
              <w:ind w:left="0" w:firstLine="0"/>
              <w:rPr/>
            </w:pPr>
            <w:r w:rsidDel="00000000" w:rsidR="00000000" w:rsidRPr="00000000">
              <w:rPr>
                <w:rtl w:val="0"/>
              </w:rPr>
              <w:t xml:space="preserve">Se dará soporte a la aplicación bajo las siguientes indicaciones:</w:t>
            </w:r>
          </w:p>
          <w:p w:rsidR="00000000" w:rsidDel="00000000" w:rsidP="00000000" w:rsidRDefault="00000000" w:rsidRPr="00000000" w14:paraId="00000023">
            <w:pPr>
              <w:numPr>
                <w:ilvl w:val="0"/>
                <w:numId w:val="1"/>
              </w:numPr>
              <w:spacing w:after="0" w:afterAutospacing="0" w:before="0" w:lineRule="auto"/>
              <w:ind w:left="720" w:hanging="360"/>
              <w:rPr>
                <w:u w:val="none"/>
              </w:rPr>
            </w:pPr>
            <w:r w:rsidDel="00000000" w:rsidR="00000000" w:rsidRPr="00000000">
              <w:rPr>
                <w:rtl w:val="0"/>
              </w:rPr>
              <w:t xml:space="preserve">Corrección de errores.</w:t>
            </w:r>
          </w:p>
          <w:p w:rsidR="00000000" w:rsidDel="00000000" w:rsidP="00000000" w:rsidRDefault="00000000" w:rsidRPr="00000000" w14:paraId="00000024">
            <w:pPr>
              <w:numPr>
                <w:ilvl w:val="0"/>
                <w:numId w:val="1"/>
              </w:numPr>
              <w:spacing w:after="0" w:afterAutospacing="0" w:before="0" w:lineRule="auto"/>
              <w:ind w:left="720" w:hanging="360"/>
              <w:rPr>
                <w:u w:val="none"/>
              </w:rPr>
            </w:pPr>
            <w:r w:rsidDel="00000000" w:rsidR="00000000" w:rsidRPr="00000000">
              <w:rPr>
                <w:rtl w:val="0"/>
              </w:rPr>
              <w:t xml:space="preserve">Cambios mayores a funciones o aspectos visuales.</w:t>
            </w:r>
          </w:p>
          <w:p w:rsidR="00000000" w:rsidDel="00000000" w:rsidP="00000000" w:rsidRDefault="00000000" w:rsidRPr="00000000" w14:paraId="00000025">
            <w:pPr>
              <w:numPr>
                <w:ilvl w:val="0"/>
                <w:numId w:val="1"/>
              </w:numPr>
              <w:spacing w:after="240" w:before="0" w:lineRule="auto"/>
              <w:ind w:left="720" w:hanging="360"/>
              <w:rPr>
                <w:u w:val="none"/>
              </w:rPr>
            </w:pPr>
            <w:r w:rsidDel="00000000" w:rsidR="00000000" w:rsidRPr="00000000">
              <w:rPr>
                <w:rtl w:val="0"/>
              </w:rPr>
              <w:t xml:space="preserve">Cambios menores a funciones o aspectos visuales.</w:t>
            </w:r>
          </w:p>
        </w:tc>
      </w:tr>
      <w:tr>
        <w:trPr>
          <w:cantSplit w:val="0"/>
          <w:trHeight w:val="1065"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color w:val="1f3864"/>
                <w:rtl w:val="0"/>
              </w:rPr>
              <w:t xml:space="preserve">Horarios de Soporte</w:t>
            </w:r>
            <w:r w:rsidDel="00000000" w:rsidR="00000000" w:rsidRPr="00000000">
              <w:rPr>
                <w:rtl w:val="0"/>
              </w:rPr>
            </w:r>
          </w:p>
        </w:tc>
        <w:tc>
          <w:tcPr>
            <w:vAlign w:val="center"/>
          </w:tcPr>
          <w:p w:rsidR="00000000" w:rsidDel="00000000" w:rsidP="00000000" w:rsidRDefault="00000000" w:rsidRPr="00000000" w14:paraId="00000027">
            <w:pPr>
              <w:jc w:val="both"/>
              <w:rPr>
                <w:i w:val="1"/>
                <w:color w:val="999999"/>
              </w:rPr>
            </w:pPr>
            <w:r w:rsidDel="00000000" w:rsidR="00000000" w:rsidRPr="00000000">
              <w:rPr>
                <w:i w:val="1"/>
                <w:color w:val="999999"/>
                <w:rtl w:val="0"/>
              </w:rPr>
              <w:t xml:space="preserve">Horas y días en los que estará disponible el servicio.</w:t>
            </w:r>
          </w:p>
          <w:p w:rsidR="00000000" w:rsidDel="00000000" w:rsidP="00000000" w:rsidRDefault="00000000" w:rsidRPr="00000000" w14:paraId="00000028">
            <w:pPr>
              <w:jc w:val="both"/>
              <w:rPr/>
            </w:pPr>
            <w:r w:rsidDel="00000000" w:rsidR="00000000" w:rsidRPr="00000000">
              <w:rPr>
                <w:rtl w:val="0"/>
              </w:rPr>
              <w:t xml:space="preserve">El soporte de la aplicación se realizará en el siguiente horario:</w:t>
            </w:r>
          </w:p>
          <w:p w:rsidR="00000000" w:rsidDel="00000000" w:rsidP="00000000" w:rsidRDefault="00000000" w:rsidRPr="00000000" w14:paraId="00000029">
            <w:pPr>
              <w:numPr>
                <w:ilvl w:val="0"/>
                <w:numId w:val="3"/>
              </w:numPr>
              <w:spacing w:after="0" w:afterAutospacing="0"/>
              <w:ind w:left="720" w:hanging="360"/>
              <w:jc w:val="both"/>
              <w:rPr>
                <w:u w:val="none"/>
              </w:rPr>
            </w:pPr>
            <w:r w:rsidDel="00000000" w:rsidR="00000000" w:rsidRPr="00000000">
              <w:rPr>
                <w:rtl w:val="0"/>
              </w:rPr>
              <w:t xml:space="preserve">Días: lunes a viernes.</w:t>
            </w:r>
          </w:p>
          <w:p w:rsidR="00000000" w:rsidDel="00000000" w:rsidP="00000000" w:rsidRDefault="00000000" w:rsidRPr="00000000" w14:paraId="0000002A">
            <w:pPr>
              <w:numPr>
                <w:ilvl w:val="0"/>
                <w:numId w:val="3"/>
              </w:numPr>
              <w:ind w:left="720" w:hanging="360"/>
              <w:jc w:val="both"/>
              <w:rPr>
                <w:u w:val="none"/>
              </w:rPr>
            </w:pPr>
            <w:r w:rsidDel="00000000" w:rsidR="00000000" w:rsidRPr="00000000">
              <w:rPr>
                <w:rtl w:val="0"/>
              </w:rPr>
              <w:t xml:space="preserve">Horario: 12:00 a 19:00</w:t>
            </w:r>
          </w:p>
          <w:p w:rsidR="00000000" w:rsidDel="00000000" w:rsidP="00000000" w:rsidRDefault="00000000" w:rsidRPr="00000000" w14:paraId="0000002B">
            <w:pPr>
              <w:ind w:left="0" w:firstLine="0"/>
              <w:jc w:val="both"/>
              <w:rPr/>
            </w:pPr>
            <w:r w:rsidDel="00000000" w:rsidR="00000000" w:rsidRPr="00000000">
              <w:rPr>
                <w:rtl w:val="0"/>
              </w:rPr>
              <w:t xml:space="preserve">En caso de solicitar soporte durante días festivos no se realizará soporte a menos que se trate de incidentes críticos.</w:t>
            </w:r>
          </w:p>
        </w:tc>
      </w:tr>
      <w:tr>
        <w:trPr>
          <w:cantSplit w:val="0"/>
          <w:trHeight w:val="939"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color w:val="1f3864"/>
                <w:rtl w:val="0"/>
              </w:rPr>
              <w:t xml:space="preserve">Tiempo de Respuesta</w:t>
            </w:r>
            <w:r w:rsidDel="00000000" w:rsidR="00000000" w:rsidRPr="00000000">
              <w:rPr>
                <w:rtl w:val="0"/>
              </w:rPr>
            </w:r>
          </w:p>
        </w:tc>
        <w:tc>
          <w:tcPr>
            <w:vAlign w:val="center"/>
          </w:tcPr>
          <w:p w:rsidR="00000000" w:rsidDel="00000000" w:rsidP="00000000" w:rsidRDefault="00000000" w:rsidRPr="00000000" w14:paraId="0000002D">
            <w:pPr>
              <w:jc w:val="both"/>
              <w:rPr>
                <w:i w:val="1"/>
                <w:color w:val="999999"/>
              </w:rPr>
            </w:pPr>
            <w:r w:rsidDel="00000000" w:rsidR="00000000" w:rsidRPr="00000000">
              <w:rPr>
                <w:i w:val="1"/>
                <w:color w:val="999999"/>
                <w:rtl w:val="0"/>
              </w:rPr>
              <w:t xml:space="preserve">Plazos para responder y resolver incidentes según su prioridad.</w:t>
            </w:r>
          </w:p>
          <w:p w:rsidR="00000000" w:rsidDel="00000000" w:rsidP="00000000" w:rsidRDefault="00000000" w:rsidRPr="00000000" w14:paraId="0000002E">
            <w:pPr>
              <w:jc w:val="both"/>
              <w:rPr/>
            </w:pPr>
            <w:r w:rsidDel="00000000" w:rsidR="00000000" w:rsidRPr="00000000">
              <w:rPr>
                <w:rtl w:val="0"/>
              </w:rPr>
              <w:t xml:space="preserve">El plazo para responder y resolver incidentes será el siguiente según su nivel de prioridad:</w:t>
            </w:r>
          </w:p>
          <w:p w:rsidR="00000000" w:rsidDel="00000000" w:rsidP="00000000" w:rsidRDefault="00000000" w:rsidRPr="00000000" w14:paraId="0000002F">
            <w:pPr>
              <w:numPr>
                <w:ilvl w:val="0"/>
                <w:numId w:val="2"/>
              </w:numPr>
              <w:spacing w:after="0" w:afterAutospacing="0"/>
              <w:ind w:left="720" w:hanging="360"/>
              <w:jc w:val="both"/>
              <w:rPr>
                <w:u w:val="none"/>
              </w:rPr>
            </w:pPr>
            <w:r w:rsidDel="00000000" w:rsidR="00000000" w:rsidRPr="00000000">
              <w:rPr>
                <w:b w:val="1"/>
                <w:rtl w:val="0"/>
              </w:rPr>
              <w:t xml:space="preserve">Incidentes de nivel crítico:</w:t>
            </w:r>
            <w:r w:rsidDel="00000000" w:rsidR="00000000" w:rsidRPr="00000000">
              <w:rPr>
                <w:rtl w:val="0"/>
              </w:rPr>
              <w:t xml:space="preserve"> Los incidentes que impidan el funcionamiento normal de la aplicación se investigarán y resolverán dentro del plazo de trabajo de un día.</w:t>
            </w:r>
          </w:p>
          <w:p w:rsidR="00000000" w:rsidDel="00000000" w:rsidP="00000000" w:rsidRDefault="00000000" w:rsidRPr="00000000" w14:paraId="00000030">
            <w:pPr>
              <w:numPr>
                <w:ilvl w:val="0"/>
                <w:numId w:val="2"/>
              </w:numPr>
              <w:spacing w:after="0" w:afterAutospacing="0"/>
              <w:ind w:left="720" w:hanging="360"/>
              <w:jc w:val="both"/>
              <w:rPr>
                <w:u w:val="none"/>
              </w:rPr>
            </w:pPr>
            <w:r w:rsidDel="00000000" w:rsidR="00000000" w:rsidRPr="00000000">
              <w:rPr>
                <w:b w:val="1"/>
                <w:rtl w:val="0"/>
              </w:rPr>
              <w:t xml:space="preserve">Incidentes de nivel alto:</w:t>
            </w:r>
            <w:r w:rsidDel="00000000" w:rsidR="00000000" w:rsidRPr="00000000">
              <w:rPr>
                <w:rtl w:val="0"/>
              </w:rPr>
              <w:t xml:space="preserve"> Los incidentes que dificulten el funcionamiento normal de la aplicación se investigarán y resolverán dentro del plazo de trabajo de un día.</w:t>
            </w:r>
          </w:p>
          <w:p w:rsidR="00000000" w:rsidDel="00000000" w:rsidP="00000000" w:rsidRDefault="00000000" w:rsidRPr="00000000" w14:paraId="00000031">
            <w:pPr>
              <w:numPr>
                <w:ilvl w:val="0"/>
                <w:numId w:val="2"/>
              </w:numPr>
              <w:spacing w:after="0" w:afterAutospacing="0"/>
              <w:ind w:left="720" w:hanging="360"/>
              <w:jc w:val="both"/>
              <w:rPr>
                <w:u w:val="none"/>
              </w:rPr>
            </w:pPr>
            <w:r w:rsidDel="00000000" w:rsidR="00000000" w:rsidRPr="00000000">
              <w:rPr>
                <w:b w:val="1"/>
                <w:rtl w:val="0"/>
              </w:rPr>
              <w:t xml:space="preserve">Incidentes de nivel medio:</w:t>
            </w:r>
            <w:r w:rsidDel="00000000" w:rsidR="00000000" w:rsidRPr="00000000">
              <w:rPr>
                <w:rtl w:val="0"/>
              </w:rPr>
              <w:t xml:space="preserve"> Los incidentes que dificulten el funcionamiento normal de funciones secundarias se investigarán y resolverán dentro del plazo de trabajo de dos días.</w:t>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b w:val="1"/>
                <w:rtl w:val="0"/>
              </w:rPr>
              <w:t xml:space="preserve">Incidentes de nivel bajo:</w:t>
            </w:r>
            <w:r w:rsidDel="00000000" w:rsidR="00000000" w:rsidRPr="00000000">
              <w:rPr>
                <w:rtl w:val="0"/>
              </w:rPr>
              <w:t xml:space="preserve"> Los incidentes que afecten aspectos visuales menores se investigarán y resolverán dentro del plazo de trabajo de tres días.</w:t>
            </w:r>
          </w:p>
          <w:p w:rsidR="00000000" w:rsidDel="00000000" w:rsidP="00000000" w:rsidRDefault="00000000" w:rsidRPr="00000000" w14:paraId="00000033">
            <w:pPr>
              <w:ind w:left="0" w:firstLine="0"/>
              <w:jc w:val="both"/>
              <w:rPr/>
            </w:pPr>
            <w:r w:rsidDel="00000000" w:rsidR="00000000" w:rsidRPr="00000000">
              <w:rPr>
                <w:rtl w:val="0"/>
              </w:rPr>
              <w:t xml:space="preserve">El plazo para responder y completar las solicitudes del cliente será el siguiente según su nivel de prioridad:</w:t>
            </w:r>
          </w:p>
          <w:p w:rsidR="00000000" w:rsidDel="00000000" w:rsidP="00000000" w:rsidRDefault="00000000" w:rsidRPr="00000000" w14:paraId="00000034">
            <w:pPr>
              <w:numPr>
                <w:ilvl w:val="0"/>
                <w:numId w:val="6"/>
              </w:numPr>
              <w:spacing w:after="0" w:afterAutospacing="0"/>
              <w:ind w:left="720" w:hanging="360"/>
              <w:jc w:val="both"/>
              <w:rPr>
                <w:u w:val="none"/>
              </w:rPr>
            </w:pPr>
            <w:r w:rsidDel="00000000" w:rsidR="00000000" w:rsidRPr="00000000">
              <w:rPr>
                <w:b w:val="1"/>
                <w:rtl w:val="0"/>
              </w:rPr>
              <w:t xml:space="preserve">Solicitudes de actualización de funciones:</w:t>
            </w:r>
            <w:r w:rsidDel="00000000" w:rsidR="00000000" w:rsidRPr="00000000">
              <w:rPr>
                <w:rtl w:val="0"/>
              </w:rPr>
              <w:t xml:space="preserve"> Las solicitudes de actualización de funciones se investigarán y responderán su viabilidad en el plazo de trabajo de un día, el tiempo de desarrollo de la actualización de la función será especificado en la respuesta inicial.</w:t>
            </w:r>
          </w:p>
          <w:p w:rsidR="00000000" w:rsidDel="00000000" w:rsidP="00000000" w:rsidRDefault="00000000" w:rsidRPr="00000000" w14:paraId="00000035">
            <w:pPr>
              <w:numPr>
                <w:ilvl w:val="0"/>
                <w:numId w:val="6"/>
              </w:numPr>
              <w:spacing w:after="0" w:afterAutospacing="0"/>
              <w:ind w:left="720" w:hanging="360"/>
              <w:jc w:val="both"/>
              <w:rPr>
                <w:u w:val="none"/>
              </w:rPr>
            </w:pPr>
            <w:r w:rsidDel="00000000" w:rsidR="00000000" w:rsidRPr="00000000">
              <w:rPr>
                <w:b w:val="1"/>
                <w:rtl w:val="0"/>
              </w:rPr>
              <w:t xml:space="preserve">Solicitudes de cambios mayores:</w:t>
            </w:r>
            <w:r w:rsidDel="00000000" w:rsidR="00000000" w:rsidRPr="00000000">
              <w:rPr>
                <w:rtl w:val="0"/>
              </w:rPr>
              <w:t xml:space="preserve"> Las solicitudes de cambios mayores se investigarán y completarán en el plazo de trabajo de dos días.</w:t>
            </w:r>
          </w:p>
          <w:p w:rsidR="00000000" w:rsidDel="00000000" w:rsidP="00000000" w:rsidRDefault="00000000" w:rsidRPr="00000000" w14:paraId="00000036">
            <w:pPr>
              <w:numPr>
                <w:ilvl w:val="0"/>
                <w:numId w:val="6"/>
              </w:numPr>
              <w:ind w:left="720" w:hanging="360"/>
              <w:jc w:val="both"/>
              <w:rPr>
                <w:u w:val="none"/>
              </w:rPr>
            </w:pPr>
            <w:r w:rsidDel="00000000" w:rsidR="00000000" w:rsidRPr="00000000">
              <w:rPr>
                <w:b w:val="1"/>
                <w:rtl w:val="0"/>
              </w:rPr>
              <w:t xml:space="preserve">Solicitudes de cambios menores:</w:t>
            </w:r>
            <w:r w:rsidDel="00000000" w:rsidR="00000000" w:rsidRPr="00000000">
              <w:rPr>
                <w:rtl w:val="0"/>
              </w:rPr>
              <w:t xml:space="preserve"> Las solicitudes de cambios menores se investigarán y completarán en el plazo de trabajo de tres días.</w:t>
            </w:r>
          </w:p>
        </w:tc>
      </w:tr>
      <w:tr>
        <w:trPr>
          <w:cantSplit w:val="0"/>
          <w:trHeight w:val="2377"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color w:val="1f3864"/>
                <w:rtl w:val="0"/>
              </w:rPr>
              <w:t xml:space="preserve">Limitaciones del Soporte</w:t>
            </w:r>
            <w:r w:rsidDel="00000000" w:rsidR="00000000" w:rsidRPr="00000000">
              <w:rPr>
                <w:rtl w:val="0"/>
              </w:rPr>
            </w:r>
          </w:p>
        </w:tc>
        <w:tc>
          <w:tcPr>
            <w:vAlign w:val="center"/>
          </w:tcPr>
          <w:p w:rsidR="00000000" w:rsidDel="00000000" w:rsidP="00000000" w:rsidRDefault="00000000" w:rsidRPr="00000000" w14:paraId="00000038">
            <w:pPr>
              <w:jc w:val="both"/>
              <w:rPr>
                <w:i w:val="1"/>
                <w:color w:val="999999"/>
              </w:rPr>
            </w:pPr>
            <w:r w:rsidDel="00000000" w:rsidR="00000000" w:rsidRPr="00000000">
              <w:rPr>
                <w:i w:val="1"/>
                <w:color w:val="999999"/>
                <w:rtl w:val="0"/>
              </w:rPr>
              <w:t xml:space="preserve">Qué no está incluido en el acuerdo (p.ej., desarrollo de nuevas funcionalidades).</w:t>
            </w:r>
          </w:p>
          <w:p w:rsidR="00000000" w:rsidDel="00000000" w:rsidP="00000000" w:rsidRDefault="00000000" w:rsidRPr="00000000" w14:paraId="00000039">
            <w:pPr>
              <w:jc w:val="both"/>
              <w:rPr/>
            </w:pPr>
            <w:r w:rsidDel="00000000" w:rsidR="00000000" w:rsidRPr="00000000">
              <w:rPr>
                <w:rtl w:val="0"/>
              </w:rPr>
              <w:t xml:space="preserve">En el soporte no se incluyen las siguientes indicaciones:</w:t>
            </w:r>
          </w:p>
          <w:p w:rsidR="00000000" w:rsidDel="00000000" w:rsidP="00000000" w:rsidRDefault="00000000" w:rsidRPr="00000000" w14:paraId="0000003A">
            <w:pPr>
              <w:numPr>
                <w:ilvl w:val="0"/>
                <w:numId w:val="8"/>
              </w:numPr>
              <w:spacing w:after="0" w:afterAutospacing="0"/>
              <w:ind w:left="720" w:hanging="360"/>
              <w:jc w:val="both"/>
              <w:rPr>
                <w:u w:val="none"/>
              </w:rPr>
            </w:pPr>
            <w:r w:rsidDel="00000000" w:rsidR="00000000" w:rsidRPr="00000000">
              <w:rPr>
                <w:rtl w:val="0"/>
              </w:rPr>
              <w:t xml:space="preserve">Desarrollo de nuevas funciones</w:t>
            </w:r>
          </w:p>
          <w:p w:rsidR="00000000" w:rsidDel="00000000" w:rsidP="00000000" w:rsidRDefault="00000000" w:rsidRPr="00000000" w14:paraId="0000003B">
            <w:pPr>
              <w:numPr>
                <w:ilvl w:val="0"/>
                <w:numId w:val="8"/>
              </w:numPr>
              <w:spacing w:after="0" w:afterAutospacing="0"/>
              <w:ind w:left="720" w:hanging="360"/>
              <w:jc w:val="both"/>
              <w:rPr>
                <w:u w:val="none"/>
              </w:rPr>
            </w:pPr>
            <w:r w:rsidDel="00000000" w:rsidR="00000000" w:rsidRPr="00000000">
              <w:rPr>
                <w:rtl w:val="0"/>
              </w:rPr>
              <w:t xml:space="preserve">No se hará capacitación a nuevos usuarios del sistema, en caso de necesitar de capacitación podrá guiarse del documento de manual de usuario el cual será entregado junto con el sistema.</w:t>
            </w:r>
          </w:p>
          <w:p w:rsidR="00000000" w:rsidDel="00000000" w:rsidP="00000000" w:rsidRDefault="00000000" w:rsidRPr="00000000" w14:paraId="0000003C">
            <w:pPr>
              <w:numPr>
                <w:ilvl w:val="0"/>
                <w:numId w:val="8"/>
              </w:numPr>
              <w:spacing w:after="0" w:afterAutospacing="0"/>
              <w:ind w:left="720" w:hanging="360"/>
              <w:jc w:val="both"/>
              <w:rPr>
                <w:u w:val="none"/>
              </w:rPr>
            </w:pPr>
            <w:r w:rsidDel="00000000" w:rsidR="00000000" w:rsidRPr="00000000">
              <w:rPr>
                <w:rtl w:val="0"/>
              </w:rPr>
              <w:t xml:space="preserve">No se incluye soporte para la integración con plataformas externas o servicios de terceros, como sistemas de pago.</w:t>
            </w:r>
          </w:p>
          <w:p w:rsidR="00000000" w:rsidDel="00000000" w:rsidP="00000000" w:rsidRDefault="00000000" w:rsidRPr="00000000" w14:paraId="0000003D">
            <w:pPr>
              <w:numPr>
                <w:ilvl w:val="0"/>
                <w:numId w:val="8"/>
              </w:numPr>
              <w:spacing w:after="0" w:afterAutospacing="0"/>
              <w:ind w:left="720" w:hanging="360"/>
              <w:jc w:val="both"/>
              <w:rPr>
                <w:u w:val="none"/>
              </w:rPr>
            </w:pPr>
            <w:r w:rsidDel="00000000" w:rsidR="00000000" w:rsidRPr="00000000">
              <w:rPr>
                <w:rtl w:val="0"/>
              </w:rPr>
              <w:t xml:space="preserve">No se incluye la corrección de problemas generados por modificaciones o manipulaciones del sistema realizadas por personal no autorizado.</w:t>
            </w:r>
          </w:p>
          <w:p w:rsidR="00000000" w:rsidDel="00000000" w:rsidP="00000000" w:rsidRDefault="00000000" w:rsidRPr="00000000" w14:paraId="0000003E">
            <w:pPr>
              <w:numPr>
                <w:ilvl w:val="0"/>
                <w:numId w:val="8"/>
              </w:numPr>
              <w:ind w:left="720" w:hanging="360"/>
              <w:jc w:val="both"/>
              <w:rPr>
                <w:u w:val="none"/>
              </w:rPr>
            </w:pPr>
            <w:r w:rsidDel="00000000" w:rsidR="00000000" w:rsidRPr="00000000">
              <w:rPr>
                <w:rtl w:val="0"/>
              </w:rPr>
              <w:t xml:space="preserve">No se brindará soporte fuera del horario laboral especificado, salvo en casos de incidentes críticos.</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3F">
            <w:pPr>
              <w:rPr>
                <w:color w:val="1f3864"/>
              </w:rPr>
            </w:pPr>
            <w:r w:rsidDel="00000000" w:rsidR="00000000" w:rsidRPr="00000000">
              <w:rPr>
                <w:color w:val="1f3864"/>
                <w:rtl w:val="0"/>
              </w:rPr>
              <w:t xml:space="preserve">Duración del Acuerdo</w:t>
            </w:r>
          </w:p>
        </w:tc>
        <w:tc>
          <w:tcPr>
            <w:vAlign w:val="center"/>
          </w:tcPr>
          <w:p w:rsidR="00000000" w:rsidDel="00000000" w:rsidP="00000000" w:rsidRDefault="00000000" w:rsidRPr="00000000" w14:paraId="00000040">
            <w:pPr>
              <w:jc w:val="both"/>
              <w:rPr>
                <w:i w:val="1"/>
                <w:color w:val="999999"/>
              </w:rPr>
            </w:pPr>
            <w:r w:rsidDel="00000000" w:rsidR="00000000" w:rsidRPr="00000000">
              <w:rPr>
                <w:i w:val="1"/>
                <w:color w:val="999999"/>
                <w:rtl w:val="0"/>
              </w:rPr>
              <w:t xml:space="preserve">Período en el que se brindará el soporte.</w:t>
            </w:r>
          </w:p>
          <w:p w:rsidR="00000000" w:rsidDel="00000000" w:rsidP="00000000" w:rsidRDefault="00000000" w:rsidRPr="00000000" w14:paraId="00000041">
            <w:pPr>
              <w:jc w:val="both"/>
              <w:rPr/>
            </w:pPr>
            <w:r w:rsidDel="00000000" w:rsidR="00000000" w:rsidRPr="00000000">
              <w:rPr>
                <w:rtl w:val="0"/>
              </w:rPr>
              <w:t xml:space="preserve">El periodo de tiempo en el que se brindara soporte a la aplicación será de 60 días de calendario:</w:t>
            </w:r>
          </w:p>
          <w:p w:rsidR="00000000" w:rsidDel="00000000" w:rsidP="00000000" w:rsidRDefault="00000000" w:rsidRPr="00000000" w14:paraId="00000042">
            <w:pPr>
              <w:numPr>
                <w:ilvl w:val="0"/>
                <w:numId w:val="4"/>
              </w:numPr>
              <w:spacing w:after="0" w:afterAutospacing="0"/>
              <w:ind w:left="720" w:hanging="360"/>
              <w:jc w:val="both"/>
              <w:rPr>
                <w:u w:val="none"/>
              </w:rPr>
            </w:pPr>
            <w:r w:rsidDel="00000000" w:rsidR="00000000" w:rsidRPr="00000000">
              <w:rPr>
                <w:b w:val="1"/>
                <w:rtl w:val="0"/>
              </w:rPr>
              <w:t xml:space="preserve">Inicio:</w:t>
            </w:r>
            <w:r w:rsidDel="00000000" w:rsidR="00000000" w:rsidRPr="00000000">
              <w:rPr>
                <w:rtl w:val="0"/>
              </w:rPr>
              <w:t xml:space="preserve"> lunes 16 de diciembre de 2024.</w:t>
            </w:r>
          </w:p>
          <w:p w:rsidR="00000000" w:rsidDel="00000000" w:rsidP="00000000" w:rsidRDefault="00000000" w:rsidRPr="00000000" w14:paraId="00000043">
            <w:pPr>
              <w:numPr>
                <w:ilvl w:val="0"/>
                <w:numId w:val="4"/>
              </w:numPr>
              <w:ind w:left="720" w:hanging="360"/>
              <w:jc w:val="both"/>
              <w:rPr>
                <w:u w:val="none"/>
              </w:rPr>
            </w:pPr>
            <w:r w:rsidDel="00000000" w:rsidR="00000000" w:rsidRPr="00000000">
              <w:rPr>
                <w:b w:val="1"/>
                <w:rtl w:val="0"/>
              </w:rPr>
              <w:t xml:space="preserve">Fin:</w:t>
            </w:r>
            <w:r w:rsidDel="00000000" w:rsidR="00000000" w:rsidRPr="00000000">
              <w:rPr>
                <w:rtl w:val="0"/>
              </w:rPr>
              <w:t xml:space="preserve"> jueves 13 de febrero de 2025.</w:t>
            </w:r>
          </w:p>
          <w:p w:rsidR="00000000" w:rsidDel="00000000" w:rsidP="00000000" w:rsidRDefault="00000000" w:rsidRPr="00000000" w14:paraId="00000044">
            <w:pPr>
              <w:ind w:left="0" w:firstLine="0"/>
              <w:jc w:val="both"/>
              <w:rPr/>
            </w:pPr>
            <w:r w:rsidDel="00000000" w:rsidR="00000000" w:rsidRPr="00000000">
              <w:rPr>
                <w:rtl w:val="0"/>
              </w:rPr>
              <w:t xml:space="preserve">Durante este periodo de tiempo se trabajará un máximo de 120 horas dentro de los horarios especificados:</w:t>
            </w:r>
          </w:p>
          <w:p w:rsidR="00000000" w:rsidDel="00000000" w:rsidP="00000000" w:rsidRDefault="00000000" w:rsidRPr="00000000" w14:paraId="00000045">
            <w:pPr>
              <w:numPr>
                <w:ilvl w:val="0"/>
                <w:numId w:val="9"/>
              </w:numPr>
              <w:spacing w:after="0" w:afterAutospacing="0"/>
              <w:ind w:left="720" w:hanging="360"/>
              <w:jc w:val="both"/>
              <w:rPr>
                <w:u w:val="none"/>
              </w:rPr>
            </w:pPr>
            <w:r w:rsidDel="00000000" w:rsidR="00000000" w:rsidRPr="00000000">
              <w:rPr>
                <w:rtl w:val="0"/>
              </w:rPr>
              <w:t xml:space="preserve">las 120 horas se consumirán según la necesidad de tiempo de cada solicitud o incidente.</w:t>
            </w:r>
          </w:p>
          <w:p w:rsidR="00000000" w:rsidDel="00000000" w:rsidP="00000000" w:rsidRDefault="00000000" w:rsidRPr="00000000" w14:paraId="00000046">
            <w:pPr>
              <w:numPr>
                <w:ilvl w:val="0"/>
                <w:numId w:val="9"/>
              </w:numPr>
              <w:spacing w:after="0" w:afterAutospacing="0"/>
              <w:ind w:left="720" w:hanging="360"/>
              <w:jc w:val="both"/>
              <w:rPr>
                <w:u w:val="none"/>
              </w:rPr>
            </w:pPr>
            <w:r w:rsidDel="00000000" w:rsidR="00000000" w:rsidRPr="00000000">
              <w:rPr>
                <w:rtl w:val="0"/>
              </w:rPr>
              <w:t xml:space="preserve">En caso de que se agoten las horas antes del jueves 13 de febrero de 2025, se dará por terminado el soporte.</w:t>
            </w:r>
          </w:p>
          <w:p w:rsidR="00000000" w:rsidDel="00000000" w:rsidP="00000000" w:rsidRDefault="00000000" w:rsidRPr="00000000" w14:paraId="00000047">
            <w:pPr>
              <w:numPr>
                <w:ilvl w:val="0"/>
                <w:numId w:val="9"/>
              </w:numPr>
              <w:spacing w:after="0" w:afterAutospacing="0"/>
              <w:ind w:left="720" w:hanging="360"/>
              <w:jc w:val="both"/>
              <w:rPr>
                <w:u w:val="none"/>
              </w:rPr>
            </w:pPr>
            <w:r w:rsidDel="00000000" w:rsidR="00000000" w:rsidRPr="00000000">
              <w:rPr>
                <w:rtl w:val="0"/>
              </w:rPr>
              <w:t xml:space="preserve">En caso de que no se agoten las horas antes del jueves 13 de febrero de 2025, no se podrá solicitar dar soporte para cumplir con las horas restantes.</w:t>
            </w:r>
          </w:p>
          <w:p w:rsidR="00000000" w:rsidDel="00000000" w:rsidP="00000000" w:rsidRDefault="00000000" w:rsidRPr="00000000" w14:paraId="00000048">
            <w:pPr>
              <w:numPr>
                <w:ilvl w:val="0"/>
                <w:numId w:val="9"/>
              </w:numPr>
              <w:ind w:left="720" w:hanging="360"/>
              <w:jc w:val="both"/>
              <w:rPr>
                <w:u w:val="none"/>
              </w:rPr>
            </w:pPr>
            <w:r w:rsidDel="00000000" w:rsidR="00000000" w:rsidRPr="00000000">
              <w:rPr>
                <w:rtl w:val="0"/>
              </w:rPr>
              <w:t xml:space="preserve">Las solicitudes o incidentes activos se completarán incluso si el periodo de soporte termina, se consideran activas las solicitudes o incidentes respondidos y en desarrollo.</w:t>
            </w:r>
          </w:p>
        </w:tc>
      </w:tr>
      <w:tr>
        <w:trPr>
          <w:cantSplit w:val="0"/>
          <w:trHeight w:val="2377" w:hRule="atLeast"/>
          <w:tblHeader w:val="0"/>
        </w:trPr>
        <w:tc>
          <w:tcPr>
            <w:vAlign w:val="center"/>
          </w:tcPr>
          <w:p w:rsidR="00000000" w:rsidDel="00000000" w:rsidP="00000000" w:rsidRDefault="00000000" w:rsidRPr="00000000" w14:paraId="00000049">
            <w:pPr>
              <w:rPr>
                <w:color w:val="1f3864"/>
              </w:rPr>
            </w:pPr>
            <w:r w:rsidDel="00000000" w:rsidR="00000000" w:rsidRPr="00000000">
              <w:rPr>
                <w:color w:val="1f3864"/>
                <w:rtl w:val="0"/>
              </w:rPr>
              <w:t xml:space="preserve">Canales de Contacto</w:t>
            </w:r>
          </w:p>
        </w:tc>
        <w:tc>
          <w:tcPr>
            <w:vAlign w:val="center"/>
          </w:tcPr>
          <w:p w:rsidR="00000000" w:rsidDel="00000000" w:rsidP="00000000" w:rsidRDefault="00000000" w:rsidRPr="00000000" w14:paraId="0000004A">
            <w:pPr>
              <w:jc w:val="both"/>
              <w:rPr>
                <w:i w:val="1"/>
                <w:color w:val="999999"/>
              </w:rPr>
            </w:pPr>
            <w:r w:rsidDel="00000000" w:rsidR="00000000" w:rsidRPr="00000000">
              <w:rPr>
                <w:i w:val="1"/>
                <w:color w:val="999999"/>
                <w:rtl w:val="0"/>
              </w:rPr>
              <w:t xml:space="preserve">Métodos para acceder al soporte</w:t>
            </w:r>
          </w:p>
          <w:p w:rsidR="00000000" w:rsidDel="00000000" w:rsidP="00000000" w:rsidRDefault="00000000" w:rsidRPr="00000000" w14:paraId="0000004B">
            <w:pPr>
              <w:jc w:val="both"/>
              <w:rPr/>
            </w:pPr>
            <w:r w:rsidDel="00000000" w:rsidR="00000000" w:rsidRPr="00000000">
              <w:rPr>
                <w:rtl w:val="0"/>
              </w:rPr>
              <w:t xml:space="preserve">El canal de contacto para acceder al soporte de la aplicación será mediante un grupo de WhatsApp llamado “Soporte Biblioteca nuevo horizonte”, el cual será creado el día en que se entregue el sistema.</w:t>
            </w:r>
          </w:p>
          <w:p w:rsidR="00000000" w:rsidDel="00000000" w:rsidP="00000000" w:rsidRDefault="00000000" w:rsidRPr="00000000" w14:paraId="0000004C">
            <w:pPr>
              <w:jc w:val="both"/>
              <w:rPr/>
            </w:pPr>
            <w:r w:rsidDel="00000000" w:rsidR="00000000" w:rsidRPr="00000000">
              <w:rPr>
                <w:rtl w:val="0"/>
              </w:rPr>
              <w:t xml:space="preserve">En caso de no poder utilizar WhatsApp podrá contactar directamente al Scrum master (Matías Mateluna) por correo “</w:t>
            </w:r>
            <w:hyperlink r:id="rId8">
              <w:r w:rsidDel="00000000" w:rsidR="00000000" w:rsidRPr="00000000">
                <w:rPr>
                  <w:color w:val="1155cc"/>
                  <w:u w:val="single"/>
                  <w:rtl w:val="0"/>
                </w:rPr>
                <w:t xml:space="preserve">ma.mateluna@duocuc.cl</w:t>
              </w:r>
            </w:hyperlink>
            <w:r w:rsidDel="00000000" w:rsidR="00000000" w:rsidRPr="00000000">
              <w:rPr>
                <w:rtl w:val="0"/>
              </w:rPr>
              <w:t xml:space="preserve">”.</w:t>
            </w:r>
          </w:p>
          <w:p w:rsidR="00000000" w:rsidDel="00000000" w:rsidP="00000000" w:rsidRDefault="00000000" w:rsidRPr="00000000" w14:paraId="0000004D">
            <w:pPr>
              <w:jc w:val="both"/>
              <w:rPr/>
            </w:pPr>
            <w:r w:rsidDel="00000000" w:rsidR="00000000" w:rsidRPr="00000000">
              <w:rPr>
                <w:rtl w:val="0"/>
              </w:rPr>
              <w:t xml:space="preserve">En caso de no poder contactar por correo electrónico podrá llamar directamente al Scrum master (Matías Mateluna) durante las horas de trabajo especificadas a su número de teléfono “+569 9097 9166”</w:t>
            </w:r>
          </w:p>
        </w:tc>
      </w:tr>
      <w:tr>
        <w:trPr>
          <w:cantSplit w:val="0"/>
          <w:trHeight w:val="2377" w:hRule="atLeast"/>
          <w:tblHeader w:val="0"/>
        </w:trPr>
        <w:tc>
          <w:tcPr>
            <w:vAlign w:val="center"/>
          </w:tcPr>
          <w:p w:rsidR="00000000" w:rsidDel="00000000" w:rsidP="00000000" w:rsidRDefault="00000000" w:rsidRPr="00000000" w14:paraId="0000004E">
            <w:pPr>
              <w:rPr>
                <w:color w:val="1f3864"/>
              </w:rPr>
            </w:pPr>
            <w:r w:rsidDel="00000000" w:rsidR="00000000" w:rsidRPr="00000000">
              <w:rPr>
                <w:color w:val="1f3864"/>
                <w:rtl w:val="0"/>
              </w:rPr>
              <w:t xml:space="preserve">Costo del Soporte</w:t>
            </w:r>
          </w:p>
        </w:tc>
        <w:tc>
          <w:tcPr>
            <w:vAlign w:val="center"/>
          </w:tcPr>
          <w:p w:rsidR="00000000" w:rsidDel="00000000" w:rsidP="00000000" w:rsidRDefault="00000000" w:rsidRPr="00000000" w14:paraId="0000004F">
            <w:pPr>
              <w:jc w:val="both"/>
              <w:rPr>
                <w:i w:val="1"/>
                <w:color w:val="999999"/>
              </w:rPr>
            </w:pPr>
            <w:r w:rsidDel="00000000" w:rsidR="00000000" w:rsidRPr="00000000">
              <w:rPr>
                <w:i w:val="1"/>
                <w:color w:val="999999"/>
                <w:rtl w:val="0"/>
              </w:rPr>
              <w:t xml:space="preserve">Sí aplica, costos por el servicio y posibles pagos adicionales.</w:t>
            </w:r>
          </w:p>
          <w:p w:rsidR="00000000" w:rsidDel="00000000" w:rsidP="00000000" w:rsidRDefault="00000000" w:rsidRPr="00000000" w14:paraId="00000050">
            <w:pPr>
              <w:jc w:val="both"/>
              <w:rPr/>
            </w:pPr>
            <w:r w:rsidDel="00000000" w:rsidR="00000000" w:rsidRPr="00000000">
              <w:rPr>
                <w:rtl w:val="0"/>
              </w:rPr>
              <w:t xml:space="preserve">El costo del soporte se realizará según lo especificado en el siguiente plan:</w:t>
            </w:r>
          </w:p>
          <w:p w:rsidR="00000000" w:rsidDel="00000000" w:rsidP="00000000" w:rsidRDefault="00000000" w:rsidRPr="00000000" w14:paraId="00000051">
            <w:pPr>
              <w:ind w:left="0" w:firstLine="0"/>
              <w:jc w:val="both"/>
              <w:rPr>
                <w:b w:val="1"/>
              </w:rPr>
            </w:pPr>
            <w:r w:rsidDel="00000000" w:rsidR="00000000" w:rsidRPr="00000000">
              <w:rPr>
                <w:b w:val="1"/>
                <w:rtl w:val="0"/>
              </w:rPr>
              <w:t xml:space="preserve">Primeros 60 días de soporte:</w:t>
            </w:r>
          </w:p>
          <w:p w:rsidR="00000000" w:rsidDel="00000000" w:rsidP="00000000" w:rsidRDefault="00000000" w:rsidRPr="00000000" w14:paraId="00000052">
            <w:pPr>
              <w:numPr>
                <w:ilvl w:val="0"/>
                <w:numId w:val="12"/>
              </w:numPr>
              <w:spacing w:after="0" w:afterAutospacing="0"/>
              <w:ind w:left="720" w:hanging="360"/>
              <w:jc w:val="both"/>
              <w:rPr>
                <w:u w:val="none"/>
              </w:rPr>
            </w:pPr>
            <w:r w:rsidDel="00000000" w:rsidR="00000000" w:rsidRPr="00000000">
              <w:rPr>
                <w:rtl w:val="0"/>
              </w:rPr>
              <w:t xml:space="preserve">Los primeros 60 días de soporte se realizarán costo 0 $</w:t>
            </w:r>
          </w:p>
          <w:p w:rsidR="00000000" w:rsidDel="00000000" w:rsidP="00000000" w:rsidRDefault="00000000" w:rsidRPr="00000000" w14:paraId="00000053">
            <w:pPr>
              <w:numPr>
                <w:ilvl w:val="0"/>
                <w:numId w:val="12"/>
              </w:numPr>
              <w:ind w:left="720" w:hanging="360"/>
              <w:jc w:val="both"/>
              <w:rPr>
                <w:u w:val="none"/>
              </w:rPr>
            </w:pPr>
            <w:r w:rsidDel="00000000" w:rsidR="00000000" w:rsidRPr="00000000">
              <w:rPr>
                <w:rtl w:val="0"/>
              </w:rPr>
              <w:t xml:space="preserve">En caso de que los integrantes del equipo deban viajar directamente a la biblioteca, se cobrará el pasaje de ida y vuelta, de un costo de 7.000 $ por integrante que viaje, la cantidad de integrantes que requieren de este monto es de dos, por lo tanto, la cifra aumenta de 14.000 $ en el caso de que los dos integrantes realicen el viaje (en caso de que el costo del pasaje aumente también lo hará el cobro realizado).</w:t>
            </w:r>
          </w:p>
          <w:p w:rsidR="00000000" w:rsidDel="00000000" w:rsidP="00000000" w:rsidRDefault="00000000" w:rsidRPr="00000000" w14:paraId="00000054">
            <w:pPr>
              <w:ind w:left="0" w:firstLine="0"/>
              <w:jc w:val="both"/>
              <w:rPr/>
            </w:pPr>
            <w:r w:rsidDel="00000000" w:rsidR="00000000" w:rsidRPr="00000000">
              <w:rPr>
                <w:b w:val="1"/>
                <w:rtl w:val="0"/>
              </w:rPr>
              <w:t xml:space="preserve">Después de los primeros 60 días de soporte:</w:t>
            </w:r>
            <w:r w:rsidDel="00000000" w:rsidR="00000000" w:rsidRPr="00000000">
              <w:rPr>
                <w:rtl w:val="0"/>
              </w:rPr>
            </w:r>
          </w:p>
          <w:p w:rsidR="00000000" w:rsidDel="00000000" w:rsidP="00000000" w:rsidRDefault="00000000" w:rsidRPr="00000000" w14:paraId="00000055">
            <w:pPr>
              <w:numPr>
                <w:ilvl w:val="0"/>
                <w:numId w:val="5"/>
              </w:numPr>
              <w:spacing w:after="0" w:afterAutospacing="0"/>
              <w:ind w:left="720" w:hanging="360"/>
              <w:jc w:val="both"/>
              <w:rPr/>
            </w:pPr>
            <w:r w:rsidDel="00000000" w:rsidR="00000000" w:rsidRPr="00000000">
              <w:rPr>
                <w:rtl w:val="0"/>
              </w:rPr>
              <w:t xml:space="preserve">En el caso de que se solicite soporte después del plazo inicial se cobrará media UF, en el momento de redactar este documento el valor de media Uf es de 19.200 $, puede consultar el valor de una UF en el siguiente enlace: </w:t>
            </w:r>
            <w:hyperlink r:id="rId9">
              <w:r w:rsidDel="00000000" w:rsidR="00000000" w:rsidRPr="00000000">
                <w:rPr>
                  <w:color w:val="1155cc"/>
                  <w:u w:val="single"/>
                  <w:rtl w:val="0"/>
                </w:rPr>
                <w:t xml:space="preserve">www.sii.cl/valores_y_fechas/uf/uf2025.htm</w:t>
              </w:r>
            </w:hyperlink>
            <w:r w:rsidDel="00000000" w:rsidR="00000000" w:rsidRPr="00000000">
              <w:rPr>
                <w:rtl w:val="0"/>
              </w:rPr>
            </w:r>
          </w:p>
          <w:p w:rsidR="00000000" w:rsidDel="00000000" w:rsidP="00000000" w:rsidRDefault="00000000" w:rsidRPr="00000000" w14:paraId="00000056">
            <w:pPr>
              <w:numPr>
                <w:ilvl w:val="0"/>
                <w:numId w:val="5"/>
              </w:numPr>
              <w:spacing w:after="0" w:afterAutospacing="0"/>
              <w:ind w:left="720" w:hanging="360"/>
              <w:jc w:val="both"/>
            </w:pPr>
            <w:r w:rsidDel="00000000" w:rsidR="00000000" w:rsidRPr="00000000">
              <w:rPr>
                <w:rtl w:val="0"/>
              </w:rPr>
              <w:t xml:space="preserve">En caso de que los integrantes del equipo deban viajar directamente a la biblioteca, se cobrará el pasaje de ida y vuelta, de un costo de 7.000 $ por integrante que viaje, la cantidad de integrantes que requieren de este monto es de dos, por lo tanto, la cifra aumenta de 14.000 $ en el caso de que los dos integrantes realicen el viaje (en caso de que el costo del pasaje aumente también lo hará el cobro realizado).</w:t>
            </w:r>
          </w:p>
          <w:p w:rsidR="00000000" w:rsidDel="00000000" w:rsidP="00000000" w:rsidRDefault="00000000" w:rsidRPr="00000000" w14:paraId="00000057">
            <w:pPr>
              <w:numPr>
                <w:ilvl w:val="0"/>
                <w:numId w:val="5"/>
              </w:numPr>
              <w:ind w:left="720" w:hanging="360"/>
              <w:jc w:val="both"/>
              <w:rPr>
                <w:u w:val="none"/>
              </w:rPr>
            </w:pPr>
            <w:r w:rsidDel="00000000" w:rsidR="00000000" w:rsidRPr="00000000">
              <w:rPr>
                <w:rtl w:val="0"/>
              </w:rPr>
              <w:t xml:space="preserve">Tendrá un plazo de 30 días para solicitar soporte extendido, en caso de necesitar soporte después de este plazo deberá contactar por correo al Scrum master para iniciar conversaciones sobre cómo se realizará el soporte. </w:t>
            </w:r>
          </w:p>
        </w:tc>
      </w:tr>
      <w:tr>
        <w:trPr>
          <w:cantSplit w:val="0"/>
          <w:trHeight w:val="2377" w:hRule="atLeast"/>
          <w:tblHeader w:val="0"/>
        </w:trPr>
        <w:tc>
          <w:tcPr>
            <w:vAlign w:val="center"/>
          </w:tcPr>
          <w:p w:rsidR="00000000" w:rsidDel="00000000" w:rsidP="00000000" w:rsidRDefault="00000000" w:rsidRPr="00000000" w14:paraId="00000058">
            <w:pPr>
              <w:rPr>
                <w:color w:val="1f3864"/>
              </w:rPr>
            </w:pPr>
            <w:r w:rsidDel="00000000" w:rsidR="00000000" w:rsidRPr="00000000">
              <w:rPr>
                <w:color w:val="1f3864"/>
                <w:rtl w:val="0"/>
              </w:rPr>
              <w:t xml:space="preserve">Costo de servicios adicionales</w:t>
            </w:r>
          </w:p>
        </w:tc>
        <w:tc>
          <w:tcPr>
            <w:vAlign w:val="center"/>
          </w:tcPr>
          <w:p w:rsidR="00000000" w:rsidDel="00000000" w:rsidP="00000000" w:rsidRDefault="00000000" w:rsidRPr="00000000" w14:paraId="00000059">
            <w:pPr>
              <w:jc w:val="both"/>
              <w:rPr/>
            </w:pPr>
            <w:r w:rsidDel="00000000" w:rsidR="00000000" w:rsidRPr="00000000">
              <w:rPr>
                <w:rtl w:val="0"/>
              </w:rPr>
              <w:t xml:space="preserve">El servicio de host en el cual se aloja la aplicación es </w:t>
            </w:r>
            <w:hyperlink r:id="rId10">
              <w:r w:rsidDel="00000000" w:rsidR="00000000" w:rsidRPr="00000000">
                <w:rPr>
                  <w:color w:val="1155cc"/>
                  <w:u w:val="single"/>
                  <w:rtl w:val="0"/>
                </w:rPr>
                <w:t xml:space="preserve">CPanelHost</w:t>
              </w:r>
            </w:hyperlink>
            <w:r w:rsidDel="00000000" w:rsidR="00000000" w:rsidRPr="00000000">
              <w:rPr>
                <w:rtl w:val="0"/>
              </w:rPr>
              <w:t xml:space="preserve">, deberá tener en cuenta lo siguiente:</w:t>
            </w:r>
          </w:p>
          <w:p w:rsidR="00000000" w:rsidDel="00000000" w:rsidP="00000000" w:rsidRDefault="00000000" w:rsidRPr="00000000" w14:paraId="0000005A">
            <w:pPr>
              <w:numPr>
                <w:ilvl w:val="0"/>
                <w:numId w:val="7"/>
              </w:numPr>
              <w:spacing w:after="0" w:afterAutospacing="0"/>
              <w:ind w:left="720" w:hanging="360"/>
              <w:jc w:val="both"/>
              <w:rPr>
                <w:u w:val="none"/>
              </w:rPr>
            </w:pPr>
            <w:r w:rsidDel="00000000" w:rsidR="00000000" w:rsidRPr="00000000">
              <w:rPr>
                <w:rtl w:val="0"/>
              </w:rPr>
              <w:t xml:space="preserve">El servicio se encuentra pagado hasta la fecha del 10/01/2025.</w:t>
            </w:r>
          </w:p>
          <w:p w:rsidR="00000000" w:rsidDel="00000000" w:rsidP="00000000" w:rsidRDefault="00000000" w:rsidRPr="00000000" w14:paraId="0000005B">
            <w:pPr>
              <w:numPr>
                <w:ilvl w:val="0"/>
                <w:numId w:val="7"/>
              </w:numPr>
              <w:spacing w:after="0" w:afterAutospacing="0"/>
              <w:ind w:left="720" w:hanging="360"/>
              <w:jc w:val="both"/>
              <w:rPr>
                <w:u w:val="none"/>
              </w:rPr>
            </w:pPr>
            <w:r w:rsidDel="00000000" w:rsidR="00000000" w:rsidRPr="00000000">
              <w:rPr>
                <w:rtl w:val="0"/>
              </w:rPr>
              <w:t xml:space="preserve">Después de esa fecha deberá pagar a </w:t>
            </w:r>
            <w:hyperlink r:id="rId11">
              <w:r w:rsidDel="00000000" w:rsidR="00000000" w:rsidRPr="00000000">
                <w:rPr>
                  <w:color w:val="1155cc"/>
                  <w:u w:val="single"/>
                  <w:rtl w:val="0"/>
                </w:rPr>
                <w:t xml:space="preserve">CPanelHost</w:t>
              </w:r>
            </w:hyperlink>
            <w:r w:rsidDel="00000000" w:rsidR="00000000" w:rsidRPr="00000000">
              <w:rPr>
                <w:rtl w:val="0"/>
              </w:rPr>
              <w:t xml:space="preserve"> un monto de 10.710 $ IVA incluido.</w:t>
            </w:r>
          </w:p>
          <w:p w:rsidR="00000000" w:rsidDel="00000000" w:rsidP="00000000" w:rsidRDefault="00000000" w:rsidRPr="00000000" w14:paraId="0000005C">
            <w:pPr>
              <w:numPr>
                <w:ilvl w:val="0"/>
                <w:numId w:val="7"/>
              </w:numPr>
              <w:spacing w:after="0" w:afterAutospacing="0"/>
              <w:ind w:left="720" w:hanging="360"/>
              <w:jc w:val="both"/>
              <w:rPr>
                <w:u w:val="none"/>
              </w:rPr>
            </w:pPr>
            <w:r w:rsidDel="00000000" w:rsidR="00000000" w:rsidRPr="00000000">
              <w:rPr>
                <w:rtl w:val="0"/>
              </w:rPr>
              <w:t xml:space="preserve">El pago del host se realiza en el siguiente enlace: </w:t>
            </w:r>
            <w:hyperlink r:id="rId12">
              <w:r w:rsidDel="00000000" w:rsidR="00000000" w:rsidRPr="00000000">
                <w:rPr>
                  <w:color w:val="1155cc"/>
                  <w:u w:val="single"/>
                  <w:rtl w:val="0"/>
                </w:rPr>
                <w:t xml:space="preserve">www.cpanelhost.cl/pagar-hosting</w:t>
              </w:r>
            </w:hyperlink>
            <w:r w:rsidDel="00000000" w:rsidR="00000000" w:rsidRPr="00000000">
              <w:rPr>
                <w:rtl w:val="0"/>
              </w:rPr>
              <w:t xml:space="preserve">.</w:t>
            </w:r>
          </w:p>
          <w:p w:rsidR="00000000" w:rsidDel="00000000" w:rsidP="00000000" w:rsidRDefault="00000000" w:rsidRPr="00000000" w14:paraId="0000005D">
            <w:pPr>
              <w:numPr>
                <w:ilvl w:val="0"/>
                <w:numId w:val="7"/>
              </w:numPr>
              <w:spacing w:after="0" w:afterAutospacing="0"/>
              <w:ind w:left="720" w:hanging="360"/>
              <w:jc w:val="both"/>
              <w:rPr>
                <w:u w:val="none"/>
              </w:rPr>
            </w:pPr>
            <w:r w:rsidDel="00000000" w:rsidR="00000000" w:rsidRPr="00000000">
              <w:rPr>
                <w:rtl w:val="0"/>
              </w:rPr>
              <w:t xml:space="preserve">En el enlace deberá ingresar el dominio “bibliotecanuevohorizonte.cl”.</w:t>
            </w:r>
          </w:p>
          <w:p w:rsidR="00000000" w:rsidDel="00000000" w:rsidP="00000000" w:rsidRDefault="00000000" w:rsidRPr="00000000" w14:paraId="0000005E">
            <w:pPr>
              <w:numPr>
                <w:ilvl w:val="0"/>
                <w:numId w:val="7"/>
              </w:numPr>
              <w:ind w:left="720" w:hanging="360"/>
              <w:jc w:val="both"/>
              <w:rPr>
                <w:u w:val="none"/>
              </w:rPr>
            </w:pPr>
            <w:r w:rsidDel="00000000" w:rsidR="00000000" w:rsidRPr="00000000">
              <w:rPr>
                <w:rtl w:val="0"/>
              </w:rPr>
              <w:t xml:space="preserve"> Dentro del apartado de pago hay instrucciones de como proceder con el pago.</w:t>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La propiedad del dominio se le será transferida en un periodo de dos semanas al momento de iniciar el soporte, deberá tener en cuenta lo siguiente:</w:t>
            </w:r>
          </w:p>
          <w:p w:rsidR="00000000" w:rsidDel="00000000" w:rsidP="00000000" w:rsidRDefault="00000000" w:rsidRPr="00000000" w14:paraId="00000060">
            <w:pPr>
              <w:numPr>
                <w:ilvl w:val="0"/>
                <w:numId w:val="11"/>
              </w:numPr>
              <w:spacing w:after="0" w:afterAutospacing="0"/>
              <w:ind w:left="720" w:hanging="360"/>
              <w:jc w:val="both"/>
              <w:rPr>
                <w:u w:val="none"/>
              </w:rPr>
            </w:pPr>
            <w:r w:rsidDel="00000000" w:rsidR="00000000" w:rsidRPr="00000000">
              <w:rPr>
                <w:rtl w:val="0"/>
              </w:rPr>
              <w:t xml:space="preserve">Para realizar la transferencia de propiedad necesitará crear una cuenta en la página </w:t>
            </w:r>
            <w:hyperlink r:id="rId13">
              <w:r w:rsidDel="00000000" w:rsidR="00000000" w:rsidRPr="00000000">
                <w:rPr>
                  <w:color w:val="1155cc"/>
                  <w:u w:val="single"/>
                  <w:rtl w:val="0"/>
                </w:rPr>
                <w:t xml:space="preserve">nic.cl</w:t>
              </w:r>
            </w:hyperlink>
            <w:r w:rsidDel="00000000" w:rsidR="00000000" w:rsidRPr="00000000">
              <w:rPr>
                <w:rtl w:val="0"/>
              </w:rPr>
            </w:r>
          </w:p>
          <w:p w:rsidR="00000000" w:rsidDel="00000000" w:rsidP="00000000" w:rsidRDefault="00000000" w:rsidRPr="00000000" w14:paraId="00000061">
            <w:pPr>
              <w:numPr>
                <w:ilvl w:val="0"/>
                <w:numId w:val="11"/>
              </w:numPr>
              <w:spacing w:after="0" w:afterAutospacing="0"/>
              <w:ind w:left="720" w:hanging="360"/>
              <w:jc w:val="both"/>
              <w:rPr>
                <w:u w:val="none"/>
              </w:rPr>
            </w:pPr>
            <w:r w:rsidDel="00000000" w:rsidR="00000000" w:rsidRPr="00000000">
              <w:rPr>
                <w:rtl w:val="0"/>
              </w:rPr>
              <w:t xml:space="preserve">Para realizar la transferencia de propiedad del dominio deberá pagar un monto de 9.900 $ sin IVA en la página de </w:t>
            </w:r>
            <w:hyperlink r:id="rId14">
              <w:r w:rsidDel="00000000" w:rsidR="00000000" w:rsidRPr="00000000">
                <w:rPr>
                  <w:color w:val="1155cc"/>
                  <w:u w:val="single"/>
                  <w:rtl w:val="0"/>
                </w:rPr>
                <w:t xml:space="preserve">nic.cl</w:t>
              </w:r>
            </w:hyperlink>
            <w:r w:rsidDel="00000000" w:rsidR="00000000" w:rsidRPr="00000000">
              <w:rPr>
                <w:rtl w:val="0"/>
              </w:rPr>
            </w:r>
          </w:p>
          <w:p w:rsidR="00000000" w:rsidDel="00000000" w:rsidP="00000000" w:rsidRDefault="00000000" w:rsidRPr="00000000" w14:paraId="00000062">
            <w:pPr>
              <w:numPr>
                <w:ilvl w:val="0"/>
                <w:numId w:val="11"/>
              </w:numPr>
              <w:ind w:left="720" w:hanging="360"/>
              <w:jc w:val="both"/>
              <w:rPr>
                <w:u w:val="none"/>
              </w:rPr>
            </w:pPr>
            <w:r w:rsidDel="00000000" w:rsidR="00000000" w:rsidRPr="00000000">
              <w:rPr>
                <w:rtl w:val="0"/>
              </w:rPr>
              <w:t xml:space="preserve">Una vez pagado el dominio solo deberá realizar un pago anual 9.900 $ sin IVA en la página de </w:t>
            </w:r>
            <w:hyperlink r:id="rId15">
              <w:r w:rsidDel="00000000" w:rsidR="00000000" w:rsidRPr="00000000">
                <w:rPr>
                  <w:color w:val="1155cc"/>
                  <w:u w:val="single"/>
                  <w:rtl w:val="0"/>
                </w:rPr>
                <w:t xml:space="preserve">nic.cl</w:t>
              </w:r>
            </w:hyperlink>
            <w:r w:rsidDel="00000000" w:rsidR="00000000" w:rsidRPr="00000000">
              <w:rPr>
                <w:rtl w:val="0"/>
              </w:rPr>
            </w:r>
          </w:p>
        </w:tc>
      </w:tr>
    </w:tbl>
    <w:p w:rsidR="00000000" w:rsidDel="00000000" w:rsidP="00000000" w:rsidRDefault="00000000" w:rsidRPr="00000000" w14:paraId="00000063">
      <w:pPr>
        <w:spacing w:after="0" w:line="240" w:lineRule="auto"/>
        <w:rPr>
          <w:color w:val="595959"/>
        </w:rPr>
      </w:pPr>
      <w:r w:rsidDel="00000000" w:rsidR="00000000" w:rsidRPr="00000000">
        <w:rPr>
          <w:rtl w:val="0"/>
        </w:rPr>
      </w:r>
    </w:p>
    <w:p w:rsidR="00000000" w:rsidDel="00000000" w:rsidP="00000000" w:rsidRDefault="00000000" w:rsidRPr="00000000" w14:paraId="00000064">
      <w:pPr>
        <w:rPr>
          <w:color w:val="595959"/>
        </w:rPr>
      </w:pPr>
      <w:r w:rsidDel="00000000" w:rsidR="00000000" w:rsidRPr="00000000">
        <w:rPr>
          <w:rtl w:val="0"/>
        </w:rPr>
      </w:r>
    </w:p>
    <w:sectPr>
      <w:headerReference r:id="rId16" w:type="default"/>
      <w:footerReference r:id="rId1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ptos"/>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spacing w:after="0" w:lineRule="auto"/>
            <w:rPr>
              <w:rFonts w:ascii="Century Gothic" w:cs="Century Gothic" w:eastAsia="Century Gothic" w:hAnsi="Century Gothic"/>
              <w:b w:val="1"/>
              <w:color w:val="1d276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panelhost.cl" TargetMode="External"/><Relationship Id="rId10" Type="http://schemas.openxmlformats.org/officeDocument/2006/relationships/hyperlink" Target="https://www.cpanelhost.cl" TargetMode="External"/><Relationship Id="rId13" Type="http://schemas.openxmlformats.org/officeDocument/2006/relationships/hyperlink" Target="https://nic.cl/" TargetMode="External"/><Relationship Id="rId12" Type="http://schemas.openxmlformats.org/officeDocument/2006/relationships/hyperlink" Target="https://www.cpanelhost.cl/pagar-hos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i.cl/valores_y_fechas/uf/uf2025.htm" TargetMode="External"/><Relationship Id="rId15" Type="http://schemas.openxmlformats.org/officeDocument/2006/relationships/hyperlink" Target="https://nic.cl/" TargetMode="External"/><Relationship Id="rId14" Type="http://schemas.openxmlformats.org/officeDocument/2006/relationships/hyperlink" Target="https://nic.cl/"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ma.mateluna@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v0EpDfqrLXh1rVp1ItfKRLJUPg==">CgMxLjAyCGguZ2pkZ3hzOAByITFvaTFMQUdWTWEzRzgwUmhITGRBRFJRTjQteGU0MGRVSA==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