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vertAlign w:val="baseline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vertAlign w:val="baseline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Información de la empresa y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5610"/>
        <w:tblGridChange w:id="0">
          <w:tblGrid>
            <w:gridCol w:w="3255"/>
            <w:gridCol w:w="56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Grupo 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Biblioteca El Pimiento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Información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Gonzalez, Matías Mateluna, Sebastián Pardo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Gonzalez, Matías Mateluna, Sebastián Pardo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vertAlign w:val="baseline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35.0" w:type="dxa"/>
        <w:jc w:val="left"/>
        <w:tblInd w:w="-10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00"/>
        <w:gridCol w:w="3360"/>
        <w:gridCol w:w="3975"/>
        <w:tblGridChange w:id="0">
          <w:tblGrid>
            <w:gridCol w:w="3600"/>
            <w:gridCol w:w="3360"/>
            <w:gridCol w:w="397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pesar de las dificultades fuimos capaces de llevar a cabo la mayoría de las actividades de este sprint antes de su fecha límite.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-Hubo retrasos en algunas tareas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-Se tuvieron que crear tareas nuevas que no se consideraron en su momento.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-Ajustar el Sprint Planning para una mejor distribución de tareas.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-Optimizar la asignación de HH según la complejidad de las actividades.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-Realizar reuniones de seguimiento más frecuentes.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-Incorporar tareas pendientes del Sprint 3 en el Sprint 4.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-Monitorear el progreso para evitar retrasos.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firstLine="0"/>
        <w:jc w:val="both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pesar de las dificultades encontradas durante el sprint, logramos cumplir con más del 90% de avance del proyecto, manteniéndonos dentro del consumo de HH planificado. Aunque algunas tareas enfrentaron retrasos y surgieron actividades no contempladas inicialmente, estas fueron gestionadas para mantener el ritmo del proyecto. De cara al Sprint 4, se actualizará el Sprint Planning para incorporar los elementos pendientes y redistribuir las tareas y HH de manera más eficiente, asegurando que no se repitan los contratiempos del Sprint 3. Como equipo, estamos enfocados y unidos para abordar la etapa final del proyecto, confiando en que alcanzaremos la meta en la semana 15 según lo planificado.</w:t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b w:val="1"/>
        <w:color w:val="0d0d0d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b w:val="1"/>
        <w:color w:val="0d0d0d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j04QK8w9fP52ZY1gwGd1BGN/RQ==">CgMxLjA4AHIhMUJqX21STzlZaGdYVnExWkd2aWdGSDg5UEQyT2ZjM2Zr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