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908" w:type="dxa"/>
        <w:tblInd w:w="-1281" w:type="dxa"/>
        <w:tblLook w:val="04A0" w:firstRow="1" w:lastRow="0" w:firstColumn="1" w:lastColumn="0" w:noHBand="0" w:noVBand="1"/>
      </w:tblPr>
      <w:tblGrid>
        <w:gridCol w:w="4509"/>
        <w:gridCol w:w="3229"/>
        <w:gridCol w:w="4170"/>
      </w:tblGrid>
      <w:tr w:rsidR="003A6AB6" w14:paraId="6C9C361F" w14:textId="77777777" w:rsidTr="005A2FBA">
        <w:trPr>
          <w:trHeight w:val="388"/>
        </w:trPr>
        <w:tc>
          <w:tcPr>
            <w:tcW w:w="4509" w:type="dxa"/>
          </w:tcPr>
          <w:p w14:paraId="3F72792B" w14:textId="6F56F365" w:rsidR="003A6AB6" w:rsidRDefault="003A6AB6">
            <w:r>
              <w:t>Financial Ratio</w:t>
            </w:r>
          </w:p>
        </w:tc>
        <w:tc>
          <w:tcPr>
            <w:tcW w:w="3229" w:type="dxa"/>
          </w:tcPr>
          <w:p w14:paraId="259F2F9A" w14:textId="39F6B724" w:rsidR="003A6AB6" w:rsidRDefault="003A6AB6">
            <w:r>
              <w:t>Company Ratio</w:t>
            </w:r>
          </w:p>
        </w:tc>
        <w:tc>
          <w:tcPr>
            <w:tcW w:w="4170" w:type="dxa"/>
          </w:tcPr>
          <w:p w14:paraId="66F1FDA3" w14:textId="1A9BB18C" w:rsidR="003A6AB6" w:rsidRDefault="003A6AB6">
            <w:r>
              <w:t>Description</w:t>
            </w:r>
          </w:p>
        </w:tc>
      </w:tr>
      <w:tr w:rsidR="003A6AB6" w14:paraId="0317BAE9" w14:textId="77777777" w:rsidTr="005A2FBA">
        <w:trPr>
          <w:trHeight w:val="388"/>
        </w:trPr>
        <w:tc>
          <w:tcPr>
            <w:tcW w:w="4509" w:type="dxa"/>
          </w:tcPr>
          <w:p w14:paraId="3FD53048" w14:textId="246E9D17" w:rsidR="003A6AB6" w:rsidRDefault="003A6AB6">
            <w:r>
              <w:t>Gross Profit Margin</w:t>
            </w:r>
          </w:p>
        </w:tc>
        <w:tc>
          <w:tcPr>
            <w:tcW w:w="3229" w:type="dxa"/>
          </w:tcPr>
          <w:p w14:paraId="70AA1F15" w14:textId="6E913680" w:rsidR="003A6AB6" w:rsidRDefault="003A6AB6">
            <w:r w:rsidRPr="00AC640F">
              <w:rPr>
                <w:color w:val="00B050"/>
              </w:rPr>
              <w:t>59.06%</w:t>
            </w:r>
          </w:p>
        </w:tc>
        <w:tc>
          <w:tcPr>
            <w:tcW w:w="4170" w:type="dxa"/>
          </w:tcPr>
          <w:p w14:paraId="49775C2B" w14:textId="0CC3DF65" w:rsidR="003A6AB6" w:rsidRPr="00AC640F" w:rsidRDefault="00AC640F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t xml:space="preserve">A value of </w:t>
            </w:r>
            <w:r w:rsidRPr="00AC640F">
              <w:rPr>
                <w:color w:val="00B050"/>
              </w:rPr>
              <w:t xml:space="preserve">59.06% </w:t>
            </w:r>
            <w:r>
              <w:t>G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ross profit margin</w:t>
            </w:r>
            <w:r>
              <w:t xml:space="preserve"> </w:t>
            </w:r>
            <w:r w:rsidR="005A2FBA">
              <w:t xml:space="preserve">indicates </w:t>
            </w:r>
            <w:r w:rsidR="000F2525">
              <w:t xml:space="preserve">company’s </w:t>
            </w:r>
            <w:r w:rsidR="005A2FBA">
              <w:rPr>
                <w:rFonts w:ascii="Segoe UI" w:hAnsi="Segoe UI" w:cs="Segoe UI"/>
                <w:color w:val="0D0D0D"/>
                <w:shd w:val="clear" w:color="auto" w:fill="FFFFFF"/>
              </w:rPr>
              <w:t>strong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operational efficiency and profitability</w:t>
            </w:r>
          </w:p>
        </w:tc>
      </w:tr>
      <w:tr w:rsidR="003A6AB6" w14:paraId="1F9ABB4F" w14:textId="77777777" w:rsidTr="005A2FBA">
        <w:trPr>
          <w:trHeight w:val="388"/>
        </w:trPr>
        <w:tc>
          <w:tcPr>
            <w:tcW w:w="4509" w:type="dxa"/>
          </w:tcPr>
          <w:p w14:paraId="406A3597" w14:textId="13E0F1BB" w:rsidR="003A6AB6" w:rsidRDefault="003A6AB6">
            <w:r>
              <w:t>Operation Profit Margin</w:t>
            </w:r>
          </w:p>
        </w:tc>
        <w:tc>
          <w:tcPr>
            <w:tcW w:w="3229" w:type="dxa"/>
          </w:tcPr>
          <w:p w14:paraId="4596BD7F" w14:textId="5D71D43B" w:rsidR="003A6AB6" w:rsidRDefault="003A6AB6">
            <w:r w:rsidRPr="005001B9">
              <w:rPr>
                <w:color w:val="00B050"/>
              </w:rPr>
              <w:t>20.14%</w:t>
            </w:r>
          </w:p>
        </w:tc>
        <w:tc>
          <w:tcPr>
            <w:tcW w:w="4170" w:type="dxa"/>
          </w:tcPr>
          <w:p w14:paraId="42F0813C" w14:textId="13E1C0A2" w:rsidR="003A6AB6" w:rsidRDefault="005001B9"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Value of </w:t>
            </w:r>
            <w:r w:rsidRPr="005001B9">
              <w:rPr>
                <w:rFonts w:ascii="Segoe UI" w:hAnsi="Segoe UI" w:cs="Segoe UI"/>
                <w:color w:val="00B050"/>
                <w:shd w:val="clear" w:color="auto" w:fill="FFFFFF"/>
              </w:rPr>
              <w:t xml:space="preserve">20.14%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operating profit margin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suggests that the company is generating a significant amount of profit</w:t>
            </w:r>
          </w:p>
        </w:tc>
      </w:tr>
      <w:tr w:rsidR="003A6AB6" w14:paraId="281A3C9D" w14:textId="77777777" w:rsidTr="005A2FBA">
        <w:trPr>
          <w:trHeight w:val="416"/>
        </w:trPr>
        <w:tc>
          <w:tcPr>
            <w:tcW w:w="4509" w:type="dxa"/>
          </w:tcPr>
          <w:p w14:paraId="0E107761" w14:textId="5A769336" w:rsidR="003A6AB6" w:rsidRDefault="003A6AB6">
            <w:r>
              <w:t>Return On Assets</w:t>
            </w:r>
          </w:p>
        </w:tc>
        <w:tc>
          <w:tcPr>
            <w:tcW w:w="3229" w:type="dxa"/>
          </w:tcPr>
          <w:p w14:paraId="28C08820" w14:textId="7825DF01" w:rsidR="003A6AB6" w:rsidRDefault="003A6AB6">
            <w:r w:rsidRPr="005A2FBA">
              <w:rPr>
                <w:color w:val="00B050"/>
              </w:rPr>
              <w:t>3.54%</w:t>
            </w:r>
          </w:p>
        </w:tc>
        <w:tc>
          <w:tcPr>
            <w:tcW w:w="4170" w:type="dxa"/>
          </w:tcPr>
          <w:p w14:paraId="7D32FCD4" w14:textId="19EF24B9" w:rsidR="003A6AB6" w:rsidRDefault="005A2FBA"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Value of </w:t>
            </w:r>
            <w:r w:rsidRPr="005A2FBA">
              <w:rPr>
                <w:rFonts w:ascii="Segoe UI" w:hAnsi="Segoe UI" w:cs="Segoe UI"/>
                <w:color w:val="00B050"/>
                <w:shd w:val="clear" w:color="auto" w:fill="FFFFFF"/>
              </w:rPr>
              <w:t>3.54%</w:t>
            </w:r>
            <w:r>
              <w:rPr>
                <w:rFonts w:ascii="Segoe UI" w:hAnsi="Segoe UI" w:cs="Segoe UI"/>
                <w:color w:val="00B050"/>
                <w:shd w:val="clear" w:color="auto" w:fill="FFFFFF"/>
              </w:rPr>
              <w:t xml:space="preserve"> </w:t>
            </w:r>
            <w:r w:rsidRPr="005A2FBA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>indicates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higher ROA indicates that the company is more efficient in generating profits with its assets. </w:t>
            </w:r>
          </w:p>
        </w:tc>
      </w:tr>
      <w:tr w:rsidR="003A6AB6" w14:paraId="58B6CB04" w14:textId="77777777" w:rsidTr="005A2FBA">
        <w:trPr>
          <w:trHeight w:val="388"/>
        </w:trPr>
        <w:tc>
          <w:tcPr>
            <w:tcW w:w="4509" w:type="dxa"/>
          </w:tcPr>
          <w:p w14:paraId="11942695" w14:textId="4289D6B7" w:rsidR="003A6AB6" w:rsidRDefault="003A6AB6">
            <w:r>
              <w:t>Return On Equity</w:t>
            </w:r>
          </w:p>
        </w:tc>
        <w:tc>
          <w:tcPr>
            <w:tcW w:w="3229" w:type="dxa"/>
          </w:tcPr>
          <w:p w14:paraId="7B98E9E8" w14:textId="1F5DD3DF" w:rsidR="003A6AB6" w:rsidRDefault="00E660F0">
            <w:r w:rsidRPr="005A2FBA">
              <w:rPr>
                <w:color w:val="00B050"/>
              </w:rPr>
              <w:t>13.94%</w:t>
            </w:r>
          </w:p>
        </w:tc>
        <w:tc>
          <w:tcPr>
            <w:tcW w:w="4170" w:type="dxa"/>
          </w:tcPr>
          <w:p w14:paraId="345269EF" w14:textId="11057419" w:rsidR="003A6AB6" w:rsidRDefault="005A2FBA"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Return on Equity of </w:t>
            </w:r>
            <w:r w:rsidRPr="005A2FBA">
              <w:rPr>
                <w:rFonts w:ascii="Segoe UI" w:hAnsi="Segoe UI" w:cs="Segoe UI"/>
                <w:color w:val="00B050"/>
                <w:shd w:val="clear" w:color="auto" w:fill="FFFFFF"/>
              </w:rPr>
              <w:t>13.94%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indicates that the company is generating a moderate level of profit relative to shareholders' equity.</w:t>
            </w:r>
          </w:p>
        </w:tc>
      </w:tr>
      <w:tr w:rsidR="003A6AB6" w14:paraId="3A6FF57B" w14:textId="77777777" w:rsidTr="005A2FBA">
        <w:trPr>
          <w:trHeight w:val="388"/>
        </w:trPr>
        <w:tc>
          <w:tcPr>
            <w:tcW w:w="4509" w:type="dxa"/>
          </w:tcPr>
          <w:p w14:paraId="77974672" w14:textId="74770E4A" w:rsidR="003A6AB6" w:rsidRDefault="00E660F0">
            <w:r>
              <w:t>Return On Sales</w:t>
            </w:r>
          </w:p>
        </w:tc>
        <w:tc>
          <w:tcPr>
            <w:tcW w:w="3229" w:type="dxa"/>
          </w:tcPr>
          <w:p w14:paraId="01767622" w14:textId="38D96F20" w:rsidR="003A6AB6" w:rsidRDefault="00E660F0">
            <w:r w:rsidRPr="005A2FBA">
              <w:rPr>
                <w:color w:val="00B050"/>
              </w:rPr>
              <w:t>20.14%</w:t>
            </w:r>
          </w:p>
        </w:tc>
        <w:tc>
          <w:tcPr>
            <w:tcW w:w="4170" w:type="dxa"/>
          </w:tcPr>
          <w:p w14:paraId="389EAD6D" w14:textId="3C9DA806" w:rsidR="003A6AB6" w:rsidRDefault="005A2FBA"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Return on Sales of </w:t>
            </w:r>
            <w:r w:rsidRPr="005A2FBA">
              <w:rPr>
                <w:rFonts w:ascii="Segoe UI" w:hAnsi="Segoe UI" w:cs="Segoe UI"/>
                <w:color w:val="00B050"/>
                <w:shd w:val="clear" w:color="auto" w:fill="FFFFFF"/>
              </w:rPr>
              <w:t xml:space="preserve">20.14%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indicates that the company is efficiently converting its sales revenue into profits.</w:t>
            </w:r>
          </w:p>
        </w:tc>
      </w:tr>
      <w:tr w:rsidR="003A6AB6" w14:paraId="1ADA38C0" w14:textId="77777777" w:rsidTr="005A2FBA">
        <w:trPr>
          <w:trHeight w:val="388"/>
        </w:trPr>
        <w:tc>
          <w:tcPr>
            <w:tcW w:w="4509" w:type="dxa"/>
          </w:tcPr>
          <w:p w14:paraId="74294E8A" w14:textId="3FE5F210" w:rsidR="003A6AB6" w:rsidRDefault="00E660F0">
            <w:r>
              <w:t>Return On Investments</w:t>
            </w:r>
          </w:p>
        </w:tc>
        <w:tc>
          <w:tcPr>
            <w:tcW w:w="3229" w:type="dxa"/>
          </w:tcPr>
          <w:p w14:paraId="6FB702AF" w14:textId="73841B90" w:rsidR="003A6AB6" w:rsidRDefault="00E660F0">
            <w:r>
              <w:t>0</w:t>
            </w:r>
          </w:p>
        </w:tc>
        <w:tc>
          <w:tcPr>
            <w:tcW w:w="4170" w:type="dxa"/>
          </w:tcPr>
          <w:p w14:paraId="5AEEEBD5" w14:textId="723EEAA0" w:rsidR="003A6AB6" w:rsidRDefault="00154A5B">
            <w:r>
              <w:t>Return On Investments = 0</w:t>
            </w:r>
          </w:p>
        </w:tc>
      </w:tr>
      <w:tr w:rsidR="003A6AB6" w14:paraId="4C24EB85" w14:textId="77777777" w:rsidTr="005A2FBA">
        <w:trPr>
          <w:trHeight w:val="579"/>
        </w:trPr>
        <w:tc>
          <w:tcPr>
            <w:tcW w:w="4509" w:type="dxa"/>
          </w:tcPr>
          <w:p w14:paraId="40BFE695" w14:textId="2C8D16DB" w:rsidR="003A6AB6" w:rsidRDefault="00E660F0">
            <w:r>
              <w:t>Current Ratio</w:t>
            </w:r>
          </w:p>
        </w:tc>
        <w:tc>
          <w:tcPr>
            <w:tcW w:w="3229" w:type="dxa"/>
          </w:tcPr>
          <w:p w14:paraId="1CFDAAE3" w14:textId="613CB9B9" w:rsidR="003A6AB6" w:rsidRDefault="00E660F0">
            <w:r w:rsidRPr="00154A5B">
              <w:rPr>
                <w:color w:val="FF0000"/>
              </w:rPr>
              <w:t>0.71</w:t>
            </w:r>
          </w:p>
        </w:tc>
        <w:tc>
          <w:tcPr>
            <w:tcW w:w="4170" w:type="dxa"/>
          </w:tcPr>
          <w:p w14:paraId="4A918840" w14:textId="5BA71579" w:rsidR="003A6AB6" w:rsidRDefault="00503FB9">
            <w:r>
              <w:t xml:space="preserve">Value of </w:t>
            </w:r>
            <w:r w:rsidRPr="00154A5B">
              <w:rPr>
                <w:color w:val="FF0000"/>
              </w:rPr>
              <w:t xml:space="preserve">0.74 </w:t>
            </w:r>
            <w:r w:rsidR="00154A5B">
              <w:t>indicates company doesn’t have enough liquid assets to cover short-term Liabilities.</w:t>
            </w:r>
          </w:p>
        </w:tc>
      </w:tr>
      <w:tr w:rsidR="00E660F0" w14:paraId="098DC6AB" w14:textId="77777777" w:rsidTr="005A2FBA">
        <w:trPr>
          <w:trHeight w:val="579"/>
        </w:trPr>
        <w:tc>
          <w:tcPr>
            <w:tcW w:w="4509" w:type="dxa"/>
          </w:tcPr>
          <w:p w14:paraId="5D0584E3" w14:textId="54EDC352" w:rsidR="00E660F0" w:rsidRDefault="00E660F0">
            <w:r>
              <w:t>Quick Ratio</w:t>
            </w:r>
          </w:p>
        </w:tc>
        <w:tc>
          <w:tcPr>
            <w:tcW w:w="3229" w:type="dxa"/>
          </w:tcPr>
          <w:p w14:paraId="37C7F2D3" w14:textId="59D6D147" w:rsidR="00E660F0" w:rsidRDefault="00E660F0">
            <w:r w:rsidRPr="00154A5B">
              <w:rPr>
                <w:color w:val="FF0000"/>
              </w:rPr>
              <w:t>0.67</w:t>
            </w:r>
          </w:p>
        </w:tc>
        <w:tc>
          <w:tcPr>
            <w:tcW w:w="4170" w:type="dxa"/>
          </w:tcPr>
          <w:p w14:paraId="0CBB53E2" w14:textId="51E2C815" w:rsidR="00E660F0" w:rsidRDefault="00154A5B">
            <w:r>
              <w:t xml:space="preserve">Value of </w:t>
            </w:r>
            <w:r w:rsidRPr="00154A5B">
              <w:rPr>
                <w:color w:val="FF0000"/>
              </w:rPr>
              <w:t xml:space="preserve">0.67 </w:t>
            </w:r>
            <w:r>
              <w:t>indicates ratio of less than 2 company doesn’t have twice as many assets than current liabilities.</w:t>
            </w:r>
          </w:p>
        </w:tc>
      </w:tr>
      <w:tr w:rsidR="00E660F0" w14:paraId="0CE9B4E7" w14:textId="77777777" w:rsidTr="005A2FBA">
        <w:trPr>
          <w:trHeight w:val="579"/>
        </w:trPr>
        <w:tc>
          <w:tcPr>
            <w:tcW w:w="4509" w:type="dxa"/>
          </w:tcPr>
          <w:p w14:paraId="1F0B3F20" w14:textId="5FEB9814" w:rsidR="00E660F0" w:rsidRDefault="00E660F0">
            <w:r>
              <w:t>Cash Ratio</w:t>
            </w:r>
          </w:p>
        </w:tc>
        <w:tc>
          <w:tcPr>
            <w:tcW w:w="3229" w:type="dxa"/>
          </w:tcPr>
          <w:p w14:paraId="0D818086" w14:textId="39F72750" w:rsidR="00E660F0" w:rsidRDefault="00E660F0">
            <w:r w:rsidRPr="00E146BD">
              <w:rPr>
                <w:color w:val="00B050"/>
              </w:rPr>
              <w:t>0.26</w:t>
            </w:r>
          </w:p>
        </w:tc>
        <w:tc>
          <w:tcPr>
            <w:tcW w:w="4170" w:type="dxa"/>
          </w:tcPr>
          <w:p w14:paraId="3C2C5C9D" w14:textId="555C5B3B" w:rsidR="00E660F0" w:rsidRDefault="00E146BD"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A cash ratio of </w:t>
            </w:r>
            <w:r w:rsidRPr="00E146BD">
              <w:rPr>
                <w:rFonts w:ascii="Segoe UI" w:hAnsi="Segoe UI" w:cs="Segoe UI"/>
                <w:color w:val="00B050"/>
                <w:shd w:val="clear" w:color="auto" w:fill="FFFFFF"/>
              </w:rPr>
              <w:t xml:space="preserve">0.26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suggests that for every dollar of current liabilities, the company has $0.26 in cash or cash equivalents available to cover those liabilities.</w:t>
            </w:r>
          </w:p>
        </w:tc>
      </w:tr>
      <w:tr w:rsidR="00E660F0" w14:paraId="7F985B70" w14:textId="77777777" w:rsidTr="005A2FBA">
        <w:trPr>
          <w:trHeight w:val="579"/>
        </w:trPr>
        <w:tc>
          <w:tcPr>
            <w:tcW w:w="4509" w:type="dxa"/>
          </w:tcPr>
          <w:p w14:paraId="7CCDA86D" w14:textId="74367B95" w:rsidR="00E660F0" w:rsidRDefault="00E660F0">
            <w:r>
              <w:t>Debt To Equity Ratio</w:t>
            </w:r>
          </w:p>
        </w:tc>
        <w:tc>
          <w:tcPr>
            <w:tcW w:w="3229" w:type="dxa"/>
          </w:tcPr>
          <w:p w14:paraId="78C36BBC" w14:textId="17E5881C" w:rsidR="00E660F0" w:rsidRDefault="00E660F0">
            <w:r w:rsidRPr="00E146BD">
              <w:rPr>
                <w:color w:val="00B050"/>
              </w:rPr>
              <w:t>1.50</w:t>
            </w:r>
          </w:p>
        </w:tc>
        <w:tc>
          <w:tcPr>
            <w:tcW w:w="4170" w:type="dxa"/>
          </w:tcPr>
          <w:p w14:paraId="7C08FB29" w14:textId="4EE996F1" w:rsidR="00E660F0" w:rsidRDefault="00E146BD"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Value of </w:t>
            </w:r>
            <w:r w:rsidRPr="00E146BD">
              <w:rPr>
                <w:rFonts w:ascii="Segoe UI" w:hAnsi="Segoe UI" w:cs="Segoe UI"/>
                <w:color w:val="00B050"/>
                <w:shd w:val="clear" w:color="auto" w:fill="FFFFFF"/>
              </w:rPr>
              <w:t xml:space="preserve">1.50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Indicates a balanced mix of debt and equity financing. It suggests a moderate level of financial risk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  <w:tr w:rsidR="00E660F0" w14:paraId="784C325C" w14:textId="77777777" w:rsidTr="005A2FBA">
        <w:trPr>
          <w:trHeight w:val="579"/>
        </w:trPr>
        <w:tc>
          <w:tcPr>
            <w:tcW w:w="4509" w:type="dxa"/>
          </w:tcPr>
          <w:p w14:paraId="12F8C828" w14:textId="4A87AC08" w:rsidR="00E660F0" w:rsidRDefault="00E660F0">
            <w:r>
              <w:t>Price To Earnings Ratio</w:t>
            </w:r>
          </w:p>
        </w:tc>
        <w:tc>
          <w:tcPr>
            <w:tcW w:w="3229" w:type="dxa"/>
          </w:tcPr>
          <w:p w14:paraId="6D2372BB" w14:textId="3EC36E3F" w:rsidR="00E660F0" w:rsidRDefault="00E660F0">
            <w:r w:rsidRPr="00BB0C18">
              <w:rPr>
                <w:color w:val="00B050"/>
              </w:rPr>
              <w:t>8.28</w:t>
            </w:r>
          </w:p>
        </w:tc>
        <w:tc>
          <w:tcPr>
            <w:tcW w:w="4170" w:type="dxa"/>
          </w:tcPr>
          <w:p w14:paraId="03F565BA" w14:textId="5BCB6321" w:rsidR="00E660F0" w:rsidRDefault="00BB0C18"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A P/E ratio of </w:t>
            </w:r>
            <w:r w:rsidRPr="00BB0C18">
              <w:rPr>
                <w:rFonts w:ascii="Segoe UI" w:hAnsi="Segoe UI" w:cs="Segoe UI"/>
                <w:color w:val="00B050"/>
                <w:shd w:val="clear" w:color="auto" w:fill="FFFFFF"/>
              </w:rPr>
              <w:t xml:space="preserve">8.28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suggests that investors are willing to pay $8.28 for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lastRenderedPageBreak/>
              <w:t>every dollar of earnings per share generated by the company.</w:t>
            </w:r>
          </w:p>
        </w:tc>
      </w:tr>
      <w:tr w:rsidR="00E660F0" w14:paraId="1132256A" w14:textId="77777777" w:rsidTr="005A2FBA">
        <w:trPr>
          <w:trHeight w:val="841"/>
        </w:trPr>
        <w:tc>
          <w:tcPr>
            <w:tcW w:w="4509" w:type="dxa"/>
          </w:tcPr>
          <w:p w14:paraId="1E34F08E" w14:textId="708932CA" w:rsidR="00E660F0" w:rsidRDefault="00E660F0">
            <w:r>
              <w:lastRenderedPageBreak/>
              <w:t>Dividend Payout Ratio</w:t>
            </w:r>
          </w:p>
        </w:tc>
        <w:tc>
          <w:tcPr>
            <w:tcW w:w="3229" w:type="dxa"/>
          </w:tcPr>
          <w:p w14:paraId="6FFD3819" w14:textId="0B4B2079" w:rsidR="00E660F0" w:rsidRPr="00BB0C18" w:rsidRDefault="00E660F0">
            <w:pPr>
              <w:rPr>
                <w:color w:val="00B050"/>
              </w:rPr>
            </w:pPr>
            <w:r w:rsidRPr="00BB0C18">
              <w:rPr>
                <w:color w:val="00B050"/>
              </w:rPr>
              <w:t>0.57</w:t>
            </w:r>
          </w:p>
        </w:tc>
        <w:tc>
          <w:tcPr>
            <w:tcW w:w="4170" w:type="dxa"/>
          </w:tcPr>
          <w:p w14:paraId="605DFFFB" w14:textId="2B7791C6" w:rsidR="00E660F0" w:rsidRDefault="00BB0C18"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A Dividend Payout Ratio of </w:t>
            </w:r>
            <w:r w:rsidRPr="00BB0C18">
              <w:rPr>
                <w:rFonts w:ascii="Segoe UI" w:hAnsi="Segoe UI" w:cs="Segoe UI"/>
                <w:color w:val="00B050"/>
                <w:shd w:val="clear" w:color="auto" w:fill="FFFFFF"/>
              </w:rPr>
              <w:t xml:space="preserve">0.57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means that for every dollar of net income the company generates, it distributes $0.57 as dividends to its shareholders.</w:t>
            </w:r>
          </w:p>
        </w:tc>
      </w:tr>
    </w:tbl>
    <w:p w14:paraId="2A804CE9" w14:textId="77777777" w:rsidR="005C0874" w:rsidRDefault="005C0874"/>
    <w:sectPr w:rsidR="005C08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AB6"/>
    <w:rsid w:val="000F2525"/>
    <w:rsid w:val="00154A5B"/>
    <w:rsid w:val="003A6AB6"/>
    <w:rsid w:val="005001B9"/>
    <w:rsid w:val="00503FB9"/>
    <w:rsid w:val="005A2FBA"/>
    <w:rsid w:val="005C0874"/>
    <w:rsid w:val="00AC640F"/>
    <w:rsid w:val="00BB0C18"/>
    <w:rsid w:val="00D44F84"/>
    <w:rsid w:val="00E146BD"/>
    <w:rsid w:val="00E6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67D38"/>
  <w15:chartTrackingRefBased/>
  <w15:docId w15:val="{8E08710A-6F78-D049-B5E2-CCEEC10DF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A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A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A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AB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AB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AB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AB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A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A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A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A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A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A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A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A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A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A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AB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A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A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A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A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A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A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A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AB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A6A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Raja Dhanuskodi</dc:creator>
  <cp:keywords/>
  <dc:description/>
  <cp:lastModifiedBy>Karthick Raja Dhanuskodi</cp:lastModifiedBy>
  <cp:revision>1</cp:revision>
  <dcterms:created xsi:type="dcterms:W3CDTF">2024-04-14T19:37:00Z</dcterms:created>
  <dcterms:modified xsi:type="dcterms:W3CDTF">2024-04-14T21:13:00Z</dcterms:modified>
</cp:coreProperties>
</file>