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b.-invarianti-rūtiņu-krāsojumi"/>
    <w:p>
      <w:pPr>
        <w:pStyle w:val="Heading1"/>
      </w:pPr>
      <w:r>
        <w:t xml:space="preserve">7.2.B. Invarianti: Rūtiņu krāsojumi</w:t>
      </w:r>
    </w:p>
    <w:p>
      <w:pPr>
        <w:pStyle w:val="FirstParagraph"/>
      </w:pPr>
      <w:r>
        <w:t xml:space="preserve">Īsa teorija</w:t>
      </w:r>
    </w:p>
    <w:p>
      <w:pPr>
        <w:pStyle w:val="BodyText"/>
      </w:pPr>
      <w:r>
        <w:rPr>
          <w:b/>
          <w:bCs/>
        </w:rPr>
        <w:t xml:space="preserve">1.piemērs:</w:t>
      </w:r>
      <w:r>
        <w:t xml:space="preserve"> </w:t>
      </w:r>
      <w:r>
        <w:t xml:space="preserve">No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kvadrāta izgriež vienu rūtiņu. Vai atlikušās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rūtiņas var</w:t>
      </w:r>
      <w:r>
        <w:t xml:space="preserve"> </w:t>
      </w:r>
      <w:r>
        <w:t xml:space="preserve">sagriezt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taisnstūrīšos? Kur jāizgriež rūtiņa, lai varētu šādi</w:t>
      </w:r>
      <w:r>
        <w:t xml:space="preserve"> </w:t>
      </w:r>
      <w:r>
        <w:t xml:space="preserve">sagriezt?</w:t>
      </w:r>
    </w:p>
    <w:p>
      <w:pPr>
        <w:pStyle w:val="BodyText"/>
      </w:pPr>
      <w:r>
        <w:drawing>
          <wp:inline>
            <wp:extent cx="3859730" cy="188655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0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730" cy="188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Saprašana:</w:t>
      </w:r>
      <w:r>
        <w:t xml:space="preserve"> </w:t>
      </w:r>
      <m:oMath>
        <m:r>
          <m:t>63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21</m:t>
        </m:r>
      </m:oMath>
      <w:r>
        <w:t xml:space="preserve">, tātad laukums netraucē — vajadzīgs cits</w:t>
      </w:r>
      <w:r>
        <w:t xml:space="preserve"> </w:t>
      </w:r>
      <w:r>
        <w:t xml:space="preserve">arguments.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Šaha krāsojums nepalīdz, jo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figūra noklāj gan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gan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rūtiņas. Kāpēc der krāsojums</w:t>
      </w:r>
      <w:r>
        <w:t xml:space="preserve"> </w:t>
      </w:r>
      <w:r>
        <w:rPr>
          <w:b/>
          <w:bCs/>
        </w:rPr>
        <w:t xml:space="preserve">trīs</w:t>
      </w:r>
      <w:r>
        <w:t xml:space="preserve"> </w:t>
      </w:r>
      <w:r>
        <w:t xml:space="preserve">krāsās pa diagonālēm?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Pārformulēšana:</w:t>
      </w:r>
      <w:r>
        <w:t xml:space="preserve"> </w:t>
      </w:r>
      <w:r>
        <w:t xml:space="preserve">Katrs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taisnstūrītis noklāj tieši vienu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vienu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 vienu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rūtiņu. Tātad invariants: noklāto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skaitiem jābūt vienādiem.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Saskaiti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rūtiņas abos attēlā dotajos krāsojumos.</w:t>
      </w:r>
      <w:r>
        <w:t xml:space="preserve"> </w:t>
      </w:r>
      <w:r>
        <w:t xml:space="preserve">Izgrieztajai rūtiņai jābūt tādā krāsā, kuras ir par vienu vairāk — un tas</w:t>
      </w:r>
      <w:r>
        <w:t xml:space="preserve"> </w:t>
      </w:r>
      <w:r>
        <w:t xml:space="preserve">jāizpildās abiem krāsojumiem vienlaikus. Kuras rūtiņas tam atbilst?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Uzdevumā ir divas daļas:</w:t>
      </w:r>
      <w:r>
        <w:t xml:space="preserve"> </w:t>
      </w:r>
      <w:r>
        <w:t xml:space="preserve">“kur var”</w:t>
      </w:r>
      <w:r>
        <w:t xml:space="preserve"> </w:t>
      </w:r>
      <w:r>
        <w:t xml:space="preserve">(piemērs) un</w:t>
      </w:r>
      <w:r>
        <w:t xml:space="preserve"> </w:t>
      </w:r>
      <w:r>
        <w:t xml:space="preserve">“citur nevar”</w:t>
      </w:r>
      <w:r>
        <w:t xml:space="preserve"> </w:t>
      </w:r>
      <w:r>
        <w:t xml:space="preserve">(invariants). Vai atbildē ir abas?</w:t>
      </w:r>
    </w:p>
    <w:p>
      <w:pPr>
        <w:pStyle w:val="FirstParagraph"/>
      </w:pPr>
      <w:r>
        <w:rPr>
          <w:b/>
          <w:bCs/>
        </w:rPr>
        <w:t xml:space="preserve">2.piemērs:</w:t>
      </w:r>
      <w:r>
        <w:t xml:space="preserve"> </w:t>
      </w:r>
      <w:r>
        <w:t xml:space="preserve">Vai taisnstūri ar izmēriem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rūtiņas var pārklāt ar 4.att.</w:t>
      </w:r>
      <w:r>
        <w:t xml:space="preserve"> </w:t>
      </w:r>
      <w:r>
        <w:t xml:space="preserve">redzamajām figūrām?</w:t>
      </w:r>
    </w:p>
    <w:p>
      <w:pPr>
        <w:pStyle w:val="BodyText"/>
      </w:pPr>
      <w:r>
        <w:drawing>
          <wp:inline>
            <wp:extent cx="3390900" cy="10668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V.AMO.2015.7.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“Vai var”</w:t>
      </w:r>
      <w:r>
        <w:t xml:space="preserve"> </w:t>
      </w:r>
      <w:r>
        <w:t xml:space="preserve">ar sagaidāmo atbildi</w:t>
      </w:r>
      <w:r>
        <w:t xml:space="preserve"> </w:t>
      </w:r>
      <w:r>
        <w:t xml:space="preserve">“nē”</w:t>
      </w:r>
      <w:r>
        <w:t xml:space="preserve"> </w:t>
      </w:r>
      <w:r>
        <w:t xml:space="preserve">— vajag spriedumu par visiem</w:t>
      </w:r>
      <w:r>
        <w:t xml:space="preserve"> </w:t>
      </w:r>
      <w:r>
        <w:t xml:space="preserve">iespējamiem pārklājumiem uzreiz.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Nokrāso taisnstūri šaha galdiņa veidā un saskaiti melnās rūtiņas: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— nepāra skaits.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Katrai figūrai pārbaudi visus pagriezienus un spoguļattēlus: cik</w:t>
      </w:r>
      <w:r>
        <w:t xml:space="preserve"> </w:t>
      </w:r>
      <w:r>
        <w:t xml:space="preserve">melnas rūtiņas tā noklāj? Katru reizi sanāk</w:t>
      </w:r>
      <w:r>
        <w:t xml:space="preserve"> </w:t>
      </w:r>
      <w:r>
        <w:rPr>
          <w:b/>
          <w:bCs/>
        </w:rPr>
        <w:t xml:space="preserve">pāra</w:t>
      </w:r>
      <w:r>
        <w:t xml:space="preserve"> </w:t>
      </w:r>
      <w:r>
        <w:t xml:space="preserve">skaits.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Vairāku pāra skaitļu summa ir pāra, bet melno rūtiņu kopskaits</w:t>
      </w:r>
      <w:r>
        <w:t xml:space="preserve"> </w:t>
      </w:r>
      <w:r>
        <w:t xml:space="preserve">ir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— nepāra. Pretruna.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Piezīme risinājumā: der arī krāsojums joslās. Pārbaudi, vai ar to</w:t>
      </w:r>
      <w:r>
        <w:t xml:space="preserve"> </w:t>
      </w:r>
      <w:r>
        <w:t xml:space="preserve">sanāk tas pats. Kāpēc šis pats spriedums bez izmaiņām strādā arī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taisnstūrim (LV.AMO.2015.8.2)?</w:t>
      </w:r>
    </w:p>
    <w:p>
      <w:pPr>
        <w:pBdr>
          <w:bottom w:val="single" w:sz="8" w:space="1" w:color="000000"/>
        </w:pBdr>
      </w:pPr>
    </w:p>
    <w:bookmarkStart w:id="15" w:name="uzdevums"/>
    <w:p>
      <w:pPr>
        <w:pStyle w:val="Heading2"/>
      </w:pPr>
      <w:r>
        <w:t xml:space="preserve">1.uzdevums</w:t>
      </w:r>
    </w:p>
    <w:bookmarkEnd w:id="15"/>
    <w:bookmarkStart w:id="16" w:name="uzdevums-1"/>
    <w:p>
      <w:pPr>
        <w:pStyle w:val="Heading2"/>
      </w:pPr>
      <w:r>
        <w:t xml:space="preserve">2.uzdevums</w:t>
      </w:r>
    </w:p>
    <w:bookmarkEnd w:id="16"/>
    <w:bookmarkEnd w:id="17"/>
    <w:sectPr>
      <w:headerReference w:type="default" r:id="rId10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7.2.B. Invarianti: Rūtiņu krāsojumi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image" Target="media/rId9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2026-09-19T23:21:02Z</dcterms:created>
  <dcterms:modified xsi:type="dcterms:W3CDTF">2026-09-19T23:21:02Z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7.2.B. Invarianti: Rūtiņu krāsojumi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/matf78/26_27/78_invariants/class2/</vt:lpwstr>
  </property>
</Properties>
</file>