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vadrātfunkcija-4a-2025-10-02"/>
    <w:p>
      <w:pPr>
        <w:pStyle w:val="Heading1"/>
      </w:pPr>
      <w:r>
        <w:t xml:space="preserve">Kvadrātfunkcija (4A: 2025-10-02)</w:t>
      </w:r>
    </w:p>
    <w:p>
      <w:pPr>
        <w:pStyle w:val="FirstParagraph"/>
      </w:pPr>
      <w:r>
        <w:rPr>
          <w:b/>
          <w:bCs/>
        </w:rPr>
        <w:t xml:space="preserve">Kvadrātfunkcijas īpašības:</w:t>
      </w:r>
    </w:p>
    <w:p>
      <w:pPr>
        <w:pStyle w:val="Compact"/>
        <w:numPr>
          <w:ilvl w:val="0"/>
          <w:numId w:val="1001"/>
        </w:numPr>
      </w:pPr>
      <w:r>
        <w:t xml:space="preserve">Kvadrātfunkcijas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grafiks ir parabola, ja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;</w:t>
      </w:r>
    </w:p>
    <w:p>
      <w:pPr>
        <w:pStyle w:val="Compact"/>
        <w:numPr>
          <w:ilvl w:val="1"/>
          <w:numId w:val="1002"/>
        </w:numPr>
      </w:pPr>
      <w:r>
        <w:t xml:space="preserve">parabolas zaru virziens un</w:t>
      </w:r>
      <w:r>
        <w:t xml:space="preserve"> </w:t>
      </w:r>
      <w:r>
        <w:t xml:space="preserve">“saspiestums”</w:t>
      </w:r>
      <w:r>
        <w:t xml:space="preserve"> </w:t>
      </w:r>
      <w:r>
        <w:t xml:space="preserve">raksturo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zīmi un vērtību</w:t>
      </w:r>
    </w:p>
    <w:p>
      <w:pPr>
        <w:pStyle w:val="Compact"/>
        <w:numPr>
          <w:ilvl w:val="1"/>
          <w:numId w:val="1002"/>
        </w:numPr>
      </w:pPr>
      <w:r>
        <w:t xml:space="preserve">grafika krustpunkts ar vertikālo asi parāda brīvo locekli</w:t>
      </w:r>
      <w:r>
        <w:t xml:space="preserve"> </w:t>
      </w:r>
      <m:oMath>
        <m:r>
          <m:t>c</m:t>
        </m:r>
      </m:oMath>
    </w:p>
    <w:p>
      <w:pPr>
        <w:pStyle w:val="Compact"/>
        <w:numPr>
          <w:ilvl w:val="1"/>
          <w:numId w:val="1002"/>
        </w:numPr>
      </w:pPr>
      <w:r>
        <w:t xml:space="preserve">parabolas virsotnes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koordināte ir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b</m:t>
            </m:r>
          </m:num>
          <m:den>
            <m:r>
              <m:t>2</m:t>
            </m:r>
            <m:r>
              <m:t>a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Kvadrātvienādojuma saknes:</w:t>
      </w:r>
    </w:p>
    <w:p>
      <w:pPr>
        <w:pStyle w:val="Compact"/>
        <w:numPr>
          <w:ilvl w:val="0"/>
          <w:numId w:val="1003"/>
        </w:numPr>
      </w:pPr>
      <w:r>
        <w:t xml:space="preserve">Kvadrātvienādojuma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sakņu formula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a</m:t>
                </m:r>
                <m:r>
                  <m:t>c</m:t>
                </m:r>
              </m:e>
            </m:rad>
          </m:num>
          <m:den>
            <m:r>
              <m:t>2</m:t>
            </m:r>
            <m:r>
              <m:t>a</m:t>
            </m:r>
          </m:den>
        </m:f>
      </m:oMath>
    </w:p>
    <w:p>
      <w:pPr>
        <w:pStyle w:val="Compact"/>
        <w:numPr>
          <w:ilvl w:val="0"/>
          <w:numId w:val="1003"/>
        </w:numPr>
      </w:pPr>
      <w:r>
        <w:t xml:space="preserve">Vjeta teorēma: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p</m:t>
        </m:r>
      </m:oMath>
      <w:r>
        <w:t xml:space="preserve"> </w:t>
      </w:r>
      <w:r>
        <w:t xml:space="preserve">(jeb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/</m:t>
        </m:r>
        <m:r>
          <m:t>a</m:t>
        </m:r>
      </m:oMath>
      <w:r>
        <w:t xml:space="preserve">),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q</m:t>
        </m:r>
      </m:oMath>
      <w:r>
        <w:t xml:space="preserve"> </w:t>
      </w:r>
      <w:r>
        <w:t xml:space="preserve">(jeb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Saistītās izteiksmes saknēm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v</m:t>
            </m:r>
          </m:e>
        </m:rad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Kvadrāttrinoma dalīšana reizinātājos: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Nevienādības ar kvadrātfunkciju:</w:t>
      </w:r>
    </w:p>
    <w:p>
      <w:pPr>
        <w:pStyle w:val="Compact"/>
        <w:numPr>
          <w:ilvl w:val="0"/>
          <w:numId w:val="1004"/>
        </w:numPr>
      </w:pPr>
      <w:r>
        <w:t xml:space="preserve">Pilnā kvadrāta atdalīšana:</w:t>
      </w:r>
    </w:p>
    <w:p>
      <w:pPr>
        <w:pStyle w:val="Compact"/>
        <w:numPr>
          <w:ilvl w:val="0"/>
          <w:numId w:val="1004"/>
        </w:numPr>
      </w:pPr>
      <w:r>
        <w:t xml:space="preserve">Nevienādības</w:t>
      </w:r>
      <w:r>
        <w:t xml:space="preserve"> </w:t>
      </w:r>
      <w:r>
        <w:rPr>
          <w:b/>
          <w:bCs/>
        </w:rPr>
        <w:t xml:space="preserve">QM-AM-GM-HM</w:t>
      </w:r>
      <w:r>
        <w:t xml:space="preserve"> </w:t>
      </w:r>
      <w:r>
        <w:t xml:space="preserve">(kvadrātiskais-aritmētiskais-ģeometriskais-harmoniskais vidējais).</w:t>
      </w:r>
      <w:r>
        <w:t xml:space="preserve"> </w:t>
      </w:r>
      <w:r>
        <w:t xml:space="preserve">Visiem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ir spēkā nevienādības: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≥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≥</m:t>
          </m:r>
          <m:rad>
            <m:deg>
              <m:r>
                <m:t>2</m:t>
              </m:r>
            </m:deg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rad>
          <m:r>
            <m:rPr>
              <m:sty m:val="p"/>
            </m:rPr>
            <m:t>≥</m:t>
          </m:r>
          <m:f>
            <m:fPr>
              <m:type m:val="bar"/>
            </m:fPr>
            <m:num>
              <m:r>
                <m:t>2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1.uzdevums (LV.AMO.2018.9.1):</w:t>
      </w:r>
      <w:r>
        <w:t xml:space="preserve"> </w:t>
      </w:r>
      <w:r>
        <w:t xml:space="preserve">Dots vienādojums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Kādām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vērtībām vienādojumam ir</w:t>
      </w:r>
      <w:r>
        <w:t xml:space="preserve"> </w:t>
      </w:r>
      <w:r>
        <w:t xml:space="preserve">tieši viena sakne?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Kādām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vērtībām vienādojumam ir divas dažādas</w:t>
      </w:r>
      <w:r>
        <w:t xml:space="preserve"> </w:t>
      </w:r>
      <w:r>
        <w:t xml:space="preserve">reālas saknes?</w:t>
      </w:r>
    </w:p>
    <w:p>
      <w:pPr>
        <w:pStyle w:val="BodyText"/>
      </w:pPr>
      <w:r>
        <w:rPr>
          <w:b/>
          <w:bCs/>
        </w:rPr>
        <w:t xml:space="preserve">2.uzdevums (LV.AMO.2015.9.1):</w:t>
      </w:r>
      <w:r>
        <w:t xml:space="preserve"> </w:t>
      </w:r>
      <w:r>
        <w:t xml:space="preserve">No visiem tādiem skaitļiem, kuru starpība ir</w:t>
      </w:r>
      <w:r>
        <w:t xml:space="preserve"> </w:t>
      </w:r>
      <m:oMath>
        <m:r>
          <m:t>2015</m:t>
        </m:r>
      </m:oMath>
      <w:r>
        <w:t xml:space="preserve">, noteikt tos divus, kuru</w:t>
      </w:r>
      <w:r>
        <w:t xml:space="preserve"> </w:t>
      </w:r>
      <w:r>
        <w:t xml:space="preserve">reizinājums ir vismazākais!</w:t>
      </w:r>
    </w:p>
    <w:p>
      <w:pPr>
        <w:pStyle w:val="BodyText"/>
      </w:pPr>
      <w:r>
        <w:rPr>
          <w:b/>
          <w:bCs/>
        </w:rPr>
        <w:t xml:space="preserve">3.uzdevums (LV.AMO.2011.9.3):</w:t>
      </w:r>
      <w:r>
        <w:t xml:space="preserve"> </w:t>
      </w:r>
      <w:r>
        <w:t xml:space="preserve">Dots vienādojums</w:t>
      </w:r>
      <w:r>
        <w:t xml:space="preserve"> </w:t>
      </w:r>
      <m:oMath>
        <m:r>
          <m:rPr>
            <m:sty m:val="p"/>
          </m:rPr>
          <m:t>#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rPr>
            <m:sty m:val="p"/>
          </m:rPr>
          <m:t>#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#</m:t>
        </m:r>
        <m:r>
          <m:rPr>
            <m:sty m:val="p"/>
          </m:rPr>
          <m:t>=</m:t>
        </m:r>
        <m:r>
          <m:t>0</m:t>
        </m:r>
      </m:oMath>
      <w:r>
        <w:t xml:space="preserve">. Divi rūķīši spēlē spēli - pirmais nosauc</w:t>
      </w:r>
      <w:r>
        <w:t xml:space="preserve"> </w:t>
      </w:r>
      <w:r>
        <w:t xml:space="preserve">trīs dažādus skaitļus, bet otrais tos kaut kādā secībā saliek</w:t>
      </w:r>
      <w:r>
        <w:t xml:space="preserve"> </w:t>
      </w:r>
      <w:r>
        <w:t xml:space="preserve">“</w:t>
      </w:r>
      <m:oMath>
        <m:r>
          <m:rPr>
            <m:sty m:val="p"/>
          </m:rPr>
          <m:t>#</m:t>
        </m:r>
      </m:oMath>
      <w:r>
        <w:t xml:space="preserve">”</w:t>
      </w:r>
      <w:r>
        <w:t xml:space="preserve"> </w:t>
      </w:r>
      <w:r>
        <w:t xml:space="preserve">vietās. Vai</w:t>
      </w:r>
      <w:r>
        <w:t xml:space="preserve"> </w:t>
      </w:r>
      <w:r>
        <w:t xml:space="preserve">pirmais rūķītis vienmēr var panākt, lai vienādojumam būtu vismaz viena</w:t>
      </w:r>
      <w:r>
        <w:t xml:space="preserve"> </w:t>
      </w:r>
      <w:r>
        <w:t xml:space="preserve">racionāla sakne?</w:t>
      </w:r>
    </w:p>
    <w:p>
      <w:pPr>
        <w:pStyle w:val="BodyText"/>
      </w:pPr>
      <w:r>
        <w:rPr>
          <w:b/>
          <w:bCs/>
        </w:rPr>
        <w:t xml:space="preserve">4.uzdevums (LV.AMO.2012.9.3):</w:t>
      </w:r>
      <w:r>
        <w:t xml:space="preserve"> </w:t>
      </w:r>
      <w:r>
        <w:t xml:space="preserve">Kvadrātvienādojuma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507</m:t>
        </m:r>
        <m:r>
          <m:t>x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saknes ir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un</w:t>
      </w:r>
      <w:r>
        <w:t xml:space="preserve"> </w:t>
      </w:r>
      <m:oMath>
        <m:r>
          <m:t>q</m:t>
        </m:r>
      </m:oMath>
      <w:r>
        <w:t xml:space="preserve">, kur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ir</w:t>
      </w:r>
      <w:r>
        <w:t xml:space="preserve"> </w:t>
      </w:r>
      <w:r>
        <w:t xml:space="preserve">pirmskaitļi. Aprēķini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skaitlisko vērtību.</w:t>
      </w:r>
    </w:p>
    <w:p>
      <w:pPr>
        <w:pStyle w:val="BodyText"/>
      </w:pPr>
      <w:r>
        <w:rPr>
          <w:b/>
          <w:bCs/>
        </w:rPr>
        <w:t xml:space="preserve">5.uzdevums (LV.AMO.2019.9.5):</w:t>
      </w:r>
      <w:r>
        <w:t xml:space="preserve"> </w:t>
      </w:r>
      <w:r>
        <w:t xml:space="preserve">Vai eksistē tāds kvadrātvienādojums ar veseliem koeficientiem, kuram ir sakne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ad>
            <m:radPr>
              <m:degHide m:val="on"/>
            </m:radPr>
            <m:deg/>
            <m:e>
              <m:r>
                <m:t>2020</m:t>
              </m:r>
            </m:e>
          </m:rad>
          <m:r>
            <m:rPr>
              <m:sty m:val="p"/>
            </m:rPr>
            <m:t>−</m:t>
          </m:r>
          <m:r>
            <m:t>2</m:t>
          </m:r>
          <m:rad>
            <m:radPr>
              <m:degHide m:val="on"/>
            </m:radPr>
            <m:deg/>
            <m:e>
              <m:r>
                <m:t>2019</m:t>
              </m:r>
            </m:e>
          </m:rad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2018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ad>
            <m:radPr>
              <m:degHide m:val="on"/>
            </m:radPr>
            <m:deg/>
            <m:e>
              <m:r>
                <m:t>2020</m:t>
              </m:r>
            </m:e>
          </m:rad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2019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ad>
            <m:radPr>
              <m:degHide m:val="on"/>
            </m:radPr>
            <m:deg/>
            <m:e>
              <m:r>
                <m:t>2019</m:t>
              </m:r>
            </m:e>
          </m:rad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2018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ad>
            <m:radPr>
              <m:degHide m:val="on"/>
            </m:radPr>
            <m:deg/>
            <m:e>
              <m:r>
                <m:t>2020</m:t>
              </m:r>
            </m:e>
          </m:rad>
          <m:r>
            <m:rPr>
              <m:sty m:val="p"/>
            </m:rPr>
            <m:t>+</m:t>
          </m:r>
          <m:rad>
            <m:radPr>
              <m:degHide m:val="on"/>
            </m:radPr>
            <m:deg/>
            <m:e>
              <m:r>
                <m:t>2018</m:t>
              </m:r>
            </m:e>
          </m:rad>
          <m:r>
            <m:rPr>
              <m:sty m:val="p"/>
            </m:rPr>
            <m:t>)</m:t>
          </m:r>
          <m:r>
            <m:rPr>
              <m:sty m:val="p"/>
            </m:rPr>
            <m:t>?</m:t>
          </m:r>
        </m:oMath>
      </m:oMathPara>
    </w:p>
    <w:p>
      <w:pPr>
        <w:pStyle w:val="FirstParagraph"/>
      </w:pPr>
      <w:r>
        <w:rPr>
          <w:b/>
          <w:bCs/>
        </w:rPr>
        <w:t xml:space="preserve">6.uzdevums (LV.AMO.2019.8.1):</w:t>
      </w:r>
      <w:r>
        <w:t xml:space="preserve"> </w:t>
      </w:r>
      <w:r>
        <w:t xml:space="preserve">Atjaunojot taisnu žogu, Raimonds izraka vecos žoga stabus, kuri atradās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metru attālumā viens no otra un kuru skaits bija nepāra skaitlis. Raimonds</w:t>
      </w:r>
      <w:r>
        <w:t xml:space="preserve"> </w:t>
      </w:r>
      <w:r>
        <w:t xml:space="preserve">sanesa visus stabus pie vidējā, nesdams tos pa vienam un sākdams ar vienu no</w:t>
      </w:r>
      <w:r>
        <w:t xml:space="preserve"> </w:t>
      </w:r>
      <w:r>
        <w:t xml:space="preserve">malējiem stabiem. Cik bija stabu, ja viņš nostaigāja</w:t>
      </w:r>
      <w:r>
        <w:t xml:space="preserve"> </w:t>
      </w:r>
      <m:oMath>
        <m:r>
          <m:t>840</m:t>
        </m:r>
        <m:r>
          <m:t> </m:t>
        </m:r>
        <m:r>
          <m:rPr>
            <m:sty m:val="p"/>
          </m:rPr>
          <m:t>m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7.uzdevums (LV.AMO.2022B.9.2):</w:t>
      </w:r>
      <w:r>
        <w:t xml:space="preserve"> </w:t>
      </w:r>
      <w:r>
        <w:t xml:space="preserve">Vai noteikti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x</m:t>
            </m:r>
          </m:den>
        </m:f>
        <m:r>
          <m:rPr>
            <m:sty m:val="p"/>
          </m:rPr>
          <m:t>&gt;</m:t>
        </m:r>
        <m:r>
          <m:t>y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y</m:t>
            </m:r>
          </m:den>
        </m:f>
      </m:oMath>
      <w:r>
        <w:t xml:space="preserve">, ja</w:t>
      </w:r>
      <w:r>
        <w:br/>
      </w:r>
      <w:r>
        <w:rPr>
          <w:b/>
          <w:bCs/>
        </w:rPr>
        <w:t xml:space="preserve">(A)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y</m:t>
        </m:r>
        <m:r>
          <m:rPr>
            <m:sty m:val="p"/>
          </m:rPr>
          <m:t>&gt;</m:t>
        </m:r>
        <m:r>
          <m:t>3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8.uzdevums (LV.AMO.2017.9.2):</w:t>
      </w:r>
      <w:r>
        <w:t xml:space="preserve"> </w:t>
      </w:r>
      <w:r>
        <w:t xml:space="preserve">Pierādīt, ka</w:t>
      </w:r>
      <w:r>
        <w:t xml:space="preserve"> </w:t>
      </w:r>
      <m:oMath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−</m:t>
        </m:r>
        <m:r>
          <m:t>4</m:t>
        </m:r>
        <m:r>
          <m:rPr>
            <m:sty m:val="p"/>
          </m:rPr>
          <m:t>≥</m:t>
        </m:r>
        <m:r>
          <m:t>0</m:t>
        </m:r>
      </m:oMath>
      <w:r>
        <w:t xml:space="preserve">, ja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2025-10-02T10:10:18Z</dcterms:created>
  <dcterms:modified xsi:type="dcterms:W3CDTF">2025-10-02T10:10:18Z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