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e9dbc0b892220710c6590a2febf52291b6d9179"/>
    <w:p>
      <w:pPr>
        <w:pStyle w:val="Heading1"/>
      </w:pPr>
      <w:r>
        <w:t xml:space="preserve">7.1.B. Atrisinājumu struktūras: Vispārīgie un atsevišķie pamatojumi</w:t>
      </w:r>
    </w:p>
    <w:p>
      <w:pPr>
        <w:pStyle w:val="BlockText"/>
      </w:pPr>
      <w:r>
        <w:t xml:space="preserve">Ja kaut ko</w:t>
      </w:r>
      <w:r>
        <w:t xml:space="preserve"> </w:t>
      </w:r>
      <w:r>
        <w:rPr>
          <w:b/>
          <w:bCs/>
        </w:rPr>
        <w:t xml:space="preserve">var izdarīt</w:t>
      </w:r>
      <w:r>
        <w:t xml:space="preserve"> </w:t>
      </w:r>
      <w:r>
        <w:t xml:space="preserve">- pamato ar konkrētu piemēru, ja</w:t>
      </w:r>
      <w:r>
        <w:t xml:space="preserve"> </w:t>
      </w:r>
      <w:r>
        <w:rPr>
          <w:b/>
          <w:bCs/>
        </w:rPr>
        <w:t xml:space="preserve">nevar izdarīt</w:t>
      </w:r>
      <w:r>
        <w:t xml:space="preserve"> </w:t>
      </w:r>
      <w:r>
        <w:t xml:space="preserve">- ar vispārīgu spriedumu.</w:t>
      </w:r>
    </w:p>
    <w:p>
      <w:pPr>
        <w:pStyle w:val="FirstParagraph"/>
      </w:pPr>
      <w:r>
        <w:t xml:space="preserve">Apgalvojumi bieži ir par kādu nezināmu parametru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(vai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vai</w:t>
      </w:r>
      <w:r>
        <w:t xml:space="preserve"> </w:t>
      </w:r>
      <m:oMath>
        <m:r>
          <m:t>b</m:t>
        </m:r>
      </m:oMath>
      <w:r>
        <w:t xml:space="preserve">).</w:t>
      </w:r>
      <w:r>
        <w:t xml:space="preserve"> </w:t>
      </w:r>
      <w:r>
        <w:t xml:space="preserve">Ja parametrs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b/>
          <w:bCs/>
        </w:rPr>
        <w:t xml:space="preserve">eksistē</w:t>
      </w:r>
      <w:r>
        <w:t xml:space="preserve"> </w:t>
      </w:r>
      <w:r>
        <w:t xml:space="preserve">- Jūs (kā risinātājs) pats varat izvēlēties šo parametru.</w:t>
      </w:r>
      <w:r>
        <w:t xml:space="preserve"> </w:t>
      </w:r>
      <w:r>
        <w:t xml:space="preserve">Ja parametrs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b/>
          <w:bCs/>
        </w:rPr>
        <w:t xml:space="preserve">neeksistē</w:t>
      </w:r>
      <w:r>
        <w:t xml:space="preserve"> </w:t>
      </w:r>
      <w:r>
        <w:t xml:space="preserve">- Parametru izvēlas žūrija (Jūs nezināt kādu), un Jūsu spriedumam tas jāapgāž.</w:t>
      </w:r>
    </w:p>
    <w:p>
      <w:pPr>
        <w:pStyle w:val="BodyText"/>
      </w:pPr>
      <w:r>
        <w:rPr>
          <w:b/>
          <w:bCs/>
        </w:rPr>
        <w:t xml:space="preserve">1.piemērs:</w:t>
      </w:r>
      <w:r>
        <w:t xml:space="preserve"> </w:t>
      </w:r>
      <w:r>
        <w:t xml:space="preserve">Ir divu veidu pastmarkas - ar vērtību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centi un</w:t>
      </w:r>
      <w:r>
        <w:t xml:space="preserve"> </w:t>
      </w:r>
      <m:oMath>
        <m:r>
          <m:t>21</m:t>
        </m:r>
      </m:oMath>
      <w:r>
        <w:t xml:space="preserve"> </w:t>
      </w:r>
      <w:r>
        <w:t xml:space="preserve">cents.</w:t>
      </w:r>
      <w:r>
        <w:br/>
      </w:r>
      <w:r>
        <w:rPr>
          <w:b/>
          <w:bCs/>
        </w:rPr>
        <w:t xml:space="preserve">(A)</w:t>
      </w:r>
      <w:r>
        <w:t xml:space="preserve"> </w:t>
      </w:r>
      <w:r>
        <w:t xml:space="preserve">Pierādīt, ka ar šīm pastmarkām nevar apmaksāt</w:t>
      </w:r>
      <w:r>
        <w:t xml:space="preserve"> </w:t>
      </w:r>
      <m:oMath>
        <m:r>
          <m:t>79</m:t>
        </m:r>
      </m:oMath>
      <w:r>
        <w:t xml:space="preserve"> </w:t>
      </w:r>
      <w:r>
        <w:t xml:space="preserve">centus (neeksistē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, kam</w:t>
      </w:r>
      <w:r>
        <w:t xml:space="preserve"> </w:t>
      </w:r>
      <m:oMath>
        <m:r>
          <m:t>5</m:t>
        </m:r>
        <m:r>
          <m:t>a</m:t>
        </m:r>
        <m:r>
          <m:rPr>
            <m:sty m:val="p"/>
          </m:rPr>
          <m:t>+</m:t>
        </m:r>
        <m:r>
          <m:t>21</m:t>
        </m:r>
        <m:r>
          <m:t>b</m:t>
        </m:r>
        <m:r>
          <m:rPr>
            <m:sty m:val="p"/>
          </m:rPr>
          <m:t>=</m:t>
        </m:r>
        <m:r>
          <m:t>79</m:t>
        </m:r>
      </m:oMath>
      <w:r>
        <w:t xml:space="preserve">).</w:t>
      </w:r>
      <w:r>
        <w:br/>
      </w:r>
      <w:r>
        <w:rPr>
          <w:b/>
          <w:bCs/>
        </w:rPr>
        <w:t xml:space="preserve">(B)</w:t>
      </w:r>
      <w:r>
        <w:t xml:space="preserve"> </w:t>
      </w:r>
      <w:r>
        <w:t xml:space="preserve">Pierādīt, ka visas summas, kas lielākas par</w:t>
      </w:r>
      <w:r>
        <w:t xml:space="preserve"> </w:t>
      </w:r>
      <m:oMath>
        <m:r>
          <m:t>79</m:t>
        </m:r>
      </m:oMath>
      <w:r>
        <w:t xml:space="preserve">, var apmaksāt (katram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79</m:t>
        </m:r>
      </m:oMath>
      <w:r>
        <w:t xml:space="preserve"> </w:t>
      </w:r>
      <w:r>
        <w:t xml:space="preserve">eksistē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, ka</w:t>
      </w:r>
      <w:r>
        <w:t xml:space="preserve"> </w:t>
      </w:r>
      <m:oMath>
        <m:r>
          <m:t>5</m:t>
        </m:r>
        <m:r>
          <m:t>a</m:t>
        </m:r>
        <m:r>
          <m:rPr>
            <m:sty m:val="p"/>
          </m:rPr>
          <m:t>+</m:t>
        </m:r>
        <m:r>
          <m:t>21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</w:p>
    <w:p>
      <w:pPr>
        <w:pStyle w:val="BodyText"/>
      </w:pPr>
      <w:r>
        <w:drawing>
          <wp:inline>
            <wp:extent cx="2857500" cy="144706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postage_stamp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47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2.piemērs:</w:t>
      </w:r>
      <w:r>
        <w:t xml:space="preserve"> </w:t>
      </w:r>
      <w:r>
        <w:t xml:space="preserve">Naturālu skaitli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sauc par pirmskaitli, ja tam ir tieši divi dalītāji: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un pats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w:r>
        <w:rPr>
          <w:b/>
          <w:bCs/>
        </w:rPr>
        <w:t xml:space="preserve">(A)</w:t>
      </w:r>
      <w:r>
        <w:t xml:space="preserve"> </w:t>
      </w:r>
      <w:r>
        <w:t xml:space="preserve">Skaitlis</w:t>
      </w:r>
      <w:r>
        <w:t xml:space="preserve"> </w:t>
      </w:r>
      <m:oMath>
        <m:r>
          <m:t>101</m:t>
        </m:r>
      </m:oMath>
      <w:r>
        <w:t xml:space="preserve"> </w:t>
      </w:r>
      <w:r>
        <w:t xml:space="preserve">ir pirmskaitlis, jo katram naturālam</w:t>
      </w:r>
      <w:r>
        <w:t xml:space="preserve"> </w:t>
      </w:r>
      <m:oMath>
        <m:r>
          <m:t>d</m:t>
        </m:r>
      </m:oMath>
      <w:r>
        <w:t xml:space="preserve">, ar kuru dalās</w:t>
      </w:r>
      <w:r>
        <w:t xml:space="preserve"> </w:t>
      </w:r>
      <m:oMath>
        <m:r>
          <m:t>101</m:t>
        </m:r>
      </m:oMath>
      <w:r>
        <w:t xml:space="preserve">, vai nu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, vai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101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Skaitlis</w:t>
      </w:r>
      <w:r>
        <w:t xml:space="preserve"> </w:t>
      </w:r>
      <m:oMath>
        <m:r>
          <m:t>1001</m:t>
        </m:r>
      </m:oMath>
      <w:r>
        <w:t xml:space="preserve"> </w:t>
      </w:r>
      <w:r>
        <w:t xml:space="preserve">nav pirmskaitlis, jo eksistē tāds naturāls</w:t>
      </w:r>
      <w:r>
        <w:t xml:space="preserve"> </w:t>
      </w:r>
      <m:oMath>
        <m:r>
          <m:t>d</m:t>
        </m:r>
      </m:oMath>
      <w:r>
        <w:t xml:space="preserve">, ar kuru dalās</w:t>
      </w:r>
      <w:r>
        <w:t xml:space="preserve"> </w:t>
      </w:r>
      <m:oMath>
        <m:r>
          <m:t>1001</m:t>
        </m:r>
      </m:oMath>
      <w:r>
        <w:t xml:space="preserve">, ka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1001</m:t>
        </m:r>
      </m:oMath>
      <w:r>
        <w:t xml:space="preserve">.</w:t>
      </w:r>
    </w:p>
    <w:bookmarkEnd w:id="12"/>
    <w:sectPr>
      <w:headerReference w:type="default" r:id="rId10"/>
      <w:footerReference w:type="default" r:id="rId11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7.-8.klašu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7.1.B. Atrisinājumu struktūras: Vispārīgie un atsevišķie pamatojumi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2026-09-17T18:18:01Z</dcterms:created>
  <dcterms:modified xsi:type="dcterms:W3CDTF">2026-09-17T18:18:01Z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7.-8.klašu matemātikas fakultatīvs</vt:lpwstr>
  </property>
  <property fmtid="{D5CDD505-2E9C-101B-9397-08002B2CF9AE}" pid="5" name="docx_header">
    <vt:lpwstr>7.1.B. Atrisinājumu struktūras: Vispārīgie un atsevišķie pamatojumi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/matf78/26_27/78STRUCT_solution_structure/class2/</vt:lpwstr>
  </property>
</Properties>
</file>