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X8c3d2eb1c2ba081830bdb94bbb3c1112ab69c18"/>
    <w:p>
      <w:pPr>
        <w:pStyle w:val="Heading1"/>
      </w:pPr>
      <w:r>
        <w:t xml:space="preserve">9.1. Atrisinājumu struktūras: Seši jautājumu tipi</w:t>
      </w:r>
    </w:p>
    <w:p>
      <w:pPr>
        <w:pStyle w:val="FirstParagraph"/>
      </w:pPr>
      <w:r>
        <w:t xml:space="preserve">No jautājuma atkarīgs, kas jāraksta, lai atrisinājums būtu pilnīgs.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Kā skan jautājums</w:t>
            </w:r>
          </w:p>
        </w:tc>
        <w:tc>
          <w:tcPr/>
          <w:p>
            <w:pPr>
              <w:pStyle w:val="Compact"/>
            </w:pPr>
            <w:r>
              <w:t xml:space="preserve">Ko satur pilns atrisinājums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Atrast visus</w:t>
            </w:r>
            <w:r>
              <w:br/>
            </w:r>
            <w:r>
              <w:t xml:space="preserve">“Kāds var būt…?”</w:t>
            </w:r>
            <w:r>
              <w:br/>
            </w:r>
            <w:r>
              <w:t xml:space="preserve">“Kādi skaitļi…?”</w:t>
            </w:r>
            <w:r>
              <w:br/>
            </w:r>
            <w:r>
              <w:t xml:space="preserve">“Cik…?”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</w:t>
            </w:r>
            <w:r>
              <w:t xml:space="preserve"> </w:t>
            </w:r>
            <w:r>
              <w:t xml:space="preserve">Uzrādīti</w:t>
            </w:r>
            <w:r>
              <w:t xml:space="preserve"> </w:t>
            </w:r>
            <w:r>
              <w:rPr>
                <w:b/>
                <w:bCs/>
              </w:rPr>
              <w:t xml:space="preserve">visi</w:t>
            </w:r>
            <w:r>
              <w:t xml:space="preserve"> </w:t>
            </w:r>
            <w:r>
              <w:t xml:space="preserve">gadījumi, kuros prasības izpildās.</w:t>
            </w:r>
            <w:r>
              <w:br/>
            </w:r>
            <w:r>
              <w:rPr>
                <w:b/>
                <w:bCs/>
              </w:rPr>
              <w:t xml:space="preserve">2.</w:t>
            </w:r>
            <w:r>
              <w:t xml:space="preserve"> </w:t>
            </w:r>
            <w:r>
              <w:t xml:space="preserve">Pierādīts, ka</w:t>
            </w:r>
            <w:r>
              <w:t xml:space="preserve"> </w:t>
            </w:r>
            <w:r>
              <w:rPr>
                <w:b/>
                <w:bCs/>
              </w:rPr>
              <w:t xml:space="preserve">citu iespēju nav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Atrast lielāko vai mazāko</w:t>
            </w:r>
            <w:r>
              <w:br/>
            </w:r>
            <w:r>
              <w:t xml:space="preserve">“Kāda ir lielākā (mazākā)…?”</w:t>
            </w:r>
            <w:r>
              <w:br/>
            </w:r>
            <w:r>
              <w:t xml:space="preserve">“Kāds ir mazākais skaits…?”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</w:t>
            </w:r>
            <w:r>
              <w:t xml:space="preserve"> </w:t>
            </w:r>
            <w:r>
              <w:t xml:space="preserve">Nosaukta vērtība un parādīts</w:t>
            </w:r>
            <w:r>
              <w:t xml:space="preserve"> </w:t>
            </w:r>
            <w:r>
              <w:rPr>
                <w:b/>
                <w:bCs/>
              </w:rPr>
              <w:t xml:space="preserve">piemērs</w:t>
            </w:r>
            <w:r>
              <w:t xml:space="preserve">, kurā tā tiek sasniegta un visas prasības izpildās.</w:t>
            </w:r>
            <w:r>
              <w:br/>
            </w:r>
            <w:r>
              <w:rPr>
                <w:b/>
                <w:bCs/>
              </w:rPr>
              <w:t xml:space="preserve">2.</w:t>
            </w:r>
            <w:r>
              <w:t xml:space="preserve"> </w:t>
            </w:r>
            <w:r>
              <w:t xml:space="preserve">Pierādīts, ka vēl lielāka (mazāka) vērtība</w:t>
            </w:r>
            <w:r>
              <w:t xml:space="preserve"> </w:t>
            </w:r>
            <w:r>
              <w:rPr>
                <w:b/>
                <w:bCs/>
              </w:rPr>
              <w:t xml:space="preserve">nav iespējama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Vai eksistē?</w:t>
            </w:r>
            <w:r>
              <w:br/>
            </w:r>
            <w:r>
              <w:t xml:space="preserve">“Vai var…?”</w:t>
            </w:r>
            <w:r>
              <w:br/>
            </w:r>
            <w:r>
              <w:t xml:space="preserve">“Vai iespējams…?”</w:t>
            </w:r>
            <w:r>
              <w:br/>
            </w:r>
            <w:r>
              <w:t xml:space="preserve">“Vai eksistē…?”</w:t>
            </w:r>
          </w:p>
        </w:tc>
        <w:tc>
          <w:tcPr/>
          <w:p>
            <w:pPr>
              <w:pStyle w:val="Compact"/>
            </w:pPr>
            <w:r>
              <w:t xml:space="preserve">Vispirms pats izlem atbildi.</w:t>
            </w:r>
            <w:r>
              <w:br/>
            </w:r>
            <w:r>
              <w:t xml:space="preserve">Ja</w:t>
            </w:r>
            <w:r>
              <w:t xml:space="preserve"> </w:t>
            </w:r>
            <w:r>
              <w:rPr>
                <w:b/>
                <w:bCs/>
              </w:rPr>
              <w:t xml:space="preserve">“jā”</w:t>
            </w:r>
            <w:r>
              <w:t xml:space="preserve"> </w:t>
            </w:r>
            <w:r>
              <w:t xml:space="preserve">— pietiek uzrādīt</w:t>
            </w:r>
            <w:r>
              <w:t xml:space="preserve"> </w:t>
            </w:r>
            <w:r>
              <w:rPr>
                <w:b/>
                <w:bCs/>
              </w:rPr>
              <w:t xml:space="preserve">vienu piemēru</w:t>
            </w:r>
            <w:r>
              <w:t xml:space="preserve">, kurā izpildās visas prasības.</w:t>
            </w:r>
            <w:r>
              <w:br/>
            </w:r>
            <w:r>
              <w:t xml:space="preserve">Ja</w:t>
            </w:r>
            <w:r>
              <w:t xml:space="preserve"> </w:t>
            </w:r>
            <w:r>
              <w:rPr>
                <w:b/>
                <w:bCs/>
              </w:rPr>
              <w:t xml:space="preserve">“nē”</w:t>
            </w:r>
            <w:r>
              <w:t xml:space="preserve"> </w:t>
            </w:r>
            <w:r>
              <w:t xml:space="preserve">— vajadzīgs</w:t>
            </w:r>
            <w:r>
              <w:t xml:space="preserve"> </w:t>
            </w:r>
            <w:r>
              <w:rPr>
                <w:b/>
                <w:bCs/>
              </w:rPr>
              <w:t xml:space="preserve">vispārīgs pierādījums</w:t>
            </w:r>
            <w:r>
              <w:t xml:space="preserve">, kas aptver visus gadījumus uzreiz.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Vai vienmēr?</w:t>
            </w:r>
            <w:r>
              <w:br/>
            </w:r>
            <w:r>
              <w:t xml:space="preserve">“Vai visiem…?”</w:t>
            </w:r>
            <w:r>
              <w:t xml:space="preserve">,</w:t>
            </w:r>
            <w:r>
              <w:t xml:space="preserve"> </w:t>
            </w:r>
            <w:r>
              <w:t xml:space="preserve">“Vai vienmēr…?”</w:t>
            </w:r>
            <w:r>
              <w:br/>
            </w:r>
            <w:r>
              <w:t xml:space="preserve">“Vai katram…?”</w:t>
            </w:r>
            <w:r>
              <w:t xml:space="preserve">,</w:t>
            </w:r>
            <w:r>
              <w:t xml:space="preserve"> </w:t>
            </w:r>
            <w:r>
              <w:t xml:space="preserve">“Vai noteikti…?”</w:t>
            </w:r>
          </w:p>
        </w:tc>
        <w:tc>
          <w:tcPr/>
          <w:p>
            <w:pPr>
              <w:pStyle w:val="Compact"/>
            </w:pPr>
            <w:r>
              <w:t xml:space="preserve">Vispirms pats izlem atbildi.</w:t>
            </w:r>
            <w:r>
              <w:br/>
            </w:r>
            <w:r>
              <w:t xml:space="preserve">Ja</w:t>
            </w:r>
            <w:r>
              <w:t xml:space="preserve"> </w:t>
            </w:r>
            <w:r>
              <w:rPr>
                <w:b/>
                <w:bCs/>
              </w:rPr>
              <w:t xml:space="preserve">“jā”</w:t>
            </w:r>
            <w:r>
              <w:t xml:space="preserve"> </w:t>
            </w:r>
            <w:r>
              <w:t xml:space="preserve">— vajadzīgs</w:t>
            </w:r>
            <w:r>
              <w:t xml:space="preserve"> </w:t>
            </w:r>
            <w:r>
              <w:rPr>
                <w:b/>
                <w:bCs/>
              </w:rPr>
              <w:t xml:space="preserve">vispārīgs pierādījums</w:t>
            </w:r>
            <w:r>
              <w:t xml:space="preserve">.</w:t>
            </w:r>
            <w:r>
              <w:br/>
            </w:r>
            <w:r>
              <w:t xml:space="preserve">Ja</w:t>
            </w:r>
            <w:r>
              <w:t xml:space="preserve"> </w:t>
            </w:r>
            <w:r>
              <w:rPr>
                <w:b/>
                <w:bCs/>
              </w:rPr>
              <w:t xml:space="preserve">“nē”</w:t>
            </w:r>
            <w:r>
              <w:t xml:space="preserve"> </w:t>
            </w:r>
            <w:r>
              <w:t xml:space="preserve">— pietiek uzrādīt</w:t>
            </w:r>
            <w:r>
              <w:t xml:space="preserve"> </w:t>
            </w:r>
            <w:r>
              <w:rPr>
                <w:b/>
                <w:bCs/>
              </w:rPr>
              <w:t xml:space="preserve">vienu pretpiemēru</w:t>
            </w:r>
            <w:r>
              <w:t xml:space="preserve">, kurā apgalvojums nav spēkā.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Pierādīt</w:t>
            </w:r>
            <w:r>
              <w:br/>
            </w:r>
            <w:r>
              <w:t xml:space="preserve">“Pierādi, ka…”</w:t>
            </w:r>
            <w:r>
              <w:br/>
            </w:r>
            <w:r>
              <w:t xml:space="preserve">“Pamato, ka…”</w:t>
            </w:r>
            <w:r>
              <w:br/>
            </w:r>
            <w:r>
              <w:t xml:space="preserve">“Parādi, ka…”</w:t>
            </w:r>
          </w:p>
        </w:tc>
        <w:tc>
          <w:tcPr/>
          <w:p>
            <w:pPr>
              <w:pStyle w:val="Compact"/>
            </w:pPr>
            <w:r>
              <w:t xml:space="preserve">Atbilde jau ir dota — apgalvojums</w:t>
            </w:r>
            <w:r>
              <w:t xml:space="preserve"> </w:t>
            </w:r>
            <w:r>
              <w:rPr>
                <w:b/>
                <w:bCs/>
              </w:rPr>
              <w:t xml:space="preserve">ir</w:t>
            </w:r>
            <w:r>
              <w:t xml:space="preserve"> </w:t>
            </w:r>
            <w:r>
              <w:t xml:space="preserve">patiess un tikai jāpamato.</w:t>
            </w:r>
            <w:r>
              <w:br/>
            </w:r>
            <w:r>
              <w:t xml:space="preserve">Ja apgalvojumā ir</w:t>
            </w:r>
            <w:r>
              <w:t xml:space="preserve"> </w:t>
            </w:r>
            <w:r>
              <w:t xml:space="preserve">“visiem”</w:t>
            </w:r>
            <w:r>
              <w:t xml:space="preserve">,</w:t>
            </w:r>
            <w:r>
              <w:t xml:space="preserve"> </w:t>
            </w:r>
            <w:r>
              <w:t xml:space="preserve">“vienmēr”</w:t>
            </w:r>
            <w:r>
              <w:t xml:space="preserve">,</w:t>
            </w:r>
            <w:r>
              <w:t xml:space="preserve"> </w:t>
            </w:r>
            <w:r>
              <w:t xml:space="preserve">“nevar”</w:t>
            </w:r>
            <w:r>
              <w:t xml:space="preserve">,</w:t>
            </w:r>
            <w:r>
              <w:t xml:space="preserve"> </w:t>
            </w:r>
            <w:r>
              <w:t xml:space="preserve">“neeksistē”</w:t>
            </w:r>
            <w:r>
              <w:t xml:space="preserve"> </w:t>
            </w:r>
            <w:r>
              <w:t xml:space="preserve">— vajadzīgs</w:t>
            </w:r>
            <w:r>
              <w:t xml:space="preserve"> </w:t>
            </w:r>
            <w:r>
              <w:rPr>
                <w:b/>
                <w:bCs/>
              </w:rPr>
              <w:t xml:space="preserve">vispārīgs spriedums</w:t>
            </w:r>
            <w:r>
              <w:t xml:space="preserve">.</w:t>
            </w:r>
            <w:r>
              <w:br/>
            </w:r>
            <w:r>
              <w:t xml:space="preserve">Ja apgalvojumā ir</w:t>
            </w:r>
            <w:r>
              <w:t xml:space="preserve"> </w:t>
            </w:r>
            <w:r>
              <w:t xml:space="preserve">“eksistē”</w:t>
            </w:r>
            <w:r>
              <w:t xml:space="preserve"> </w:t>
            </w:r>
            <w:r>
              <w:t xml:space="preserve">vai</w:t>
            </w:r>
            <w:r>
              <w:t xml:space="preserve"> </w:t>
            </w:r>
            <w:r>
              <w:t xml:space="preserve">“var”</w:t>
            </w:r>
            <w:r>
              <w:t xml:space="preserve"> </w:t>
            </w:r>
            <w:r>
              <w:t xml:space="preserve">— pietiek ar</w:t>
            </w:r>
            <w:r>
              <w:t xml:space="preserve"> </w:t>
            </w:r>
            <w:r>
              <w:rPr>
                <w:b/>
                <w:bCs/>
              </w:rPr>
              <w:t xml:space="preserve">vienu piemēru</w:t>
            </w:r>
            <w:r>
              <w:t xml:space="preserve"> </w:t>
            </w:r>
            <w:r>
              <w:t xml:space="preserve">un pārbaudi, ka tas der.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Parādīt, kā</w:t>
            </w:r>
            <w:r>
              <w:br/>
            </w:r>
            <w:r>
              <w:rPr>
                <w:i/>
                <w:iCs/>
              </w:rPr>
              <w:t xml:space="preserve">(algoritms, stratēģija)</w:t>
            </w:r>
            <w:r>
              <w:br/>
            </w:r>
            <w:r>
              <w:t xml:space="preserve">“Parādi, kā…”</w:t>
            </w:r>
            <w:r>
              <w:br/>
            </w:r>
            <w:r>
              <w:t xml:space="preserve">“Kā sadalīt (konstruēt, nosvērt)…?”</w:t>
            </w:r>
            <w:r>
              <w:br/>
            </w:r>
            <w:r>
              <w:t xml:space="preserve">“Apraksti stratēģiju, kā uzvarēt.”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</w:t>
            </w:r>
            <w:r>
              <w:t xml:space="preserve"> </w:t>
            </w:r>
            <w:r>
              <w:t xml:space="preserve">Aprakstīti</w:t>
            </w:r>
            <w:r>
              <w:t xml:space="preserve"> </w:t>
            </w:r>
            <w:r>
              <w:rPr>
                <w:b/>
                <w:bCs/>
              </w:rPr>
              <w:t xml:space="preserve">soļi</w:t>
            </w:r>
            <w:r>
              <w:t xml:space="preserve"> </w:t>
            </w:r>
            <w:r>
              <w:t xml:space="preserve">— tik skaidri, ka pēc apraksta darbību var atkārtot jebkurš.</w:t>
            </w:r>
            <w:r>
              <w:br/>
            </w:r>
            <w:r>
              <w:rPr>
                <w:b/>
                <w:bCs/>
              </w:rPr>
              <w:t xml:space="preserve">2.</w:t>
            </w:r>
            <w:r>
              <w:t xml:space="preserve"> </w:t>
            </w:r>
            <w:r>
              <w:t xml:space="preserve">Pamatots,</w:t>
            </w:r>
            <w:r>
              <w:t xml:space="preserve"> </w:t>
            </w:r>
            <w:r>
              <w:rPr>
                <w:b/>
                <w:bCs/>
              </w:rPr>
              <w:t xml:space="preserve">kāpēc tas vienmēr noved</w:t>
            </w:r>
            <w:r>
              <w:t xml:space="preserve"> </w:t>
            </w:r>
            <w:r>
              <w:t xml:space="preserve">pie prasītā rezultāta.</w:t>
            </w:r>
          </w:p>
        </w:tc>
      </w:tr>
    </w:tbl>
    <w:p>
      <w:pPr>
        <w:pStyle w:val="Compact"/>
        <w:numPr>
          <w:ilvl w:val="0"/>
          <w:numId w:val="1001"/>
        </w:numPr>
      </w:pPr>
      <w:r>
        <w:t xml:space="preserve">Vai atrisinājums atbild uz to, kas ir prasīts? Vai aplūkoti visi iespējamie gadījumi?</w:t>
      </w:r>
    </w:p>
    <w:p>
      <w:pPr>
        <w:pStyle w:val="Compact"/>
        <w:numPr>
          <w:ilvl w:val="0"/>
          <w:numId w:val="1001"/>
        </w:numPr>
      </w:pPr>
      <w:r>
        <w:t xml:space="preserve">Vai vispārīga pamatojuma vietā nav tikai piemēri? Spēlēs jāapskata</w:t>
      </w:r>
      <w:r>
        <w:t xml:space="preserve"> </w:t>
      </w:r>
      <w:r>
        <w:rPr>
          <w:b/>
          <w:bCs/>
        </w:rPr>
        <w:t xml:space="preserve">visi</w:t>
      </w:r>
      <w:r>
        <w:t xml:space="preserve"> </w:t>
      </w:r>
      <w:r>
        <w:t xml:space="preserve">pretinieka gājieni.</w:t>
      </w:r>
    </w:p>
    <w:p>
      <w:pPr>
        <w:pStyle w:val="Compact"/>
        <w:numPr>
          <w:ilvl w:val="0"/>
          <w:numId w:val="1001"/>
        </w:numPr>
      </w:pPr>
      <w:r>
        <w:t xml:space="preserve">Vai tur kur vajag (</w:t>
      </w:r>
      <w:r>
        <w:t xml:space="preserve">“Atrast lielāko vai mazāko”</w:t>
      </w:r>
      <w:r>
        <w:t xml:space="preserve">,</w:t>
      </w:r>
      <w:r>
        <w:t xml:space="preserve"> </w:t>
      </w:r>
      <w:r>
        <w:t xml:space="preserve">“Atrast visus”</w:t>
      </w:r>
      <w:r>
        <w:t xml:space="preserve">) ir</w:t>
      </w:r>
      <w:r>
        <w:t xml:space="preserve"> </w:t>
      </w:r>
      <w:r>
        <w:rPr>
          <w:b/>
          <w:bCs/>
        </w:rPr>
        <w:t xml:space="preserve">abas</w:t>
      </w:r>
      <w:r>
        <w:t xml:space="preserve"> </w:t>
      </w:r>
      <w:r>
        <w:t xml:space="preserve">risinājuma daļas?</w:t>
      </w:r>
    </w:p>
    <w:p>
      <w:pPr>
        <w:pBdr>
          <w:bottom w:val="single" w:sz="8" w:space="1" w:color="000000"/>
        </w:pBdr>
      </w:pPr>
    </w:p>
    <w:bookmarkStart w:id="9" w:name="uzdevums"/>
    <w:p>
      <w:pPr>
        <w:pStyle w:val="Heading2"/>
      </w:pPr>
      <w:r>
        <w:t xml:space="preserve">1.uzdevums</w:t>
      </w:r>
    </w:p>
    <w:p>
      <w:pPr>
        <w:pStyle w:val="BlockText"/>
      </w:pPr>
      <w:r>
        <w:rPr>
          <w:b/>
          <w:bCs/>
        </w:rPr>
        <w:t xml:space="preserve">LV.AMO.2003.7.3:</w:t>
      </w:r>
      <w:r>
        <w:br/>
      </w:r>
      <w:r>
        <w:t xml:space="preserve">Divi spēlētāji pamīšus raksta uz tāfeles pa vienam naturālam skaitlim no 1 līdz 9 ieskaitot.</w:t>
      </w:r>
      <w:r>
        <w:t xml:space="preserve"> </w:t>
      </w:r>
      <w:r>
        <w:t xml:space="preserve">Nedrīkst rakstīt skaitļus, ar kuriem dalās kaut viens jau uzrakstīts skaitlis.</w:t>
      </w:r>
      <w:r>
        <w:t xml:space="preserve"> </w:t>
      </w:r>
      <w:r>
        <w:t xml:space="preserve">Kas nevar izdarīt gājienu, zaudē.</w:t>
      </w:r>
      <w:r>
        <w:t xml:space="preserve"> </w:t>
      </w:r>
      <w:r>
        <w:t xml:space="preserve">Parādiet, kā tas, kas izdara pirmo gājienu, var uzvarēt.</w:t>
      </w:r>
    </w:p>
    <w:p>
      <w:pPr>
        <w:pStyle w:val="FirstParagraph"/>
      </w:pPr>
      <w:r>
        <w:t xml:space="preserve">Pirms šo risināt, pierakstiet, kādas daļas būtu jāsatur pilnam šī uzdevuma atrisinājumam.</w:t>
      </w:r>
      <w:r>
        <w:t xml:space="preserve"> </w:t>
      </w:r>
      <w:r>
        <w:t xml:space="preserve">Kad tas pierakstīts, var mēģināt spēlēt šo spēli un arī uzvarēt tajā.</w:t>
      </w:r>
    </w:p>
    <w:bookmarkEnd w:id="9"/>
    <w:bookmarkStart w:id="10" w:name="uzdevums-1"/>
    <w:p>
      <w:pPr>
        <w:pStyle w:val="Heading2"/>
      </w:pPr>
      <w:r>
        <w:t xml:space="preserve">2.uzdevums</w:t>
      </w:r>
    </w:p>
    <w:p>
      <w:pPr>
        <w:pStyle w:val="FirstParagraph"/>
      </w:pPr>
      <w:r>
        <w:t xml:space="preserve">Kā mainīsies iepriekšējā uzdevuma atrisinājums, ja pēdējā teikumā</w:t>
      </w:r>
      <w:r>
        <w:t xml:space="preserve"> </w:t>
      </w:r>
      <w:r>
        <w:t xml:space="preserve">“Parādiet”</w:t>
      </w:r>
      <w:r>
        <w:t xml:space="preserve"> </w:t>
      </w:r>
      <w:r>
        <w:t xml:space="preserve">nomainītu uz</w:t>
      </w:r>
      <w:r>
        <w:t xml:space="preserve"> </w:t>
      </w:r>
      <w:r>
        <w:t xml:space="preserve">“Pierādiet”</w:t>
      </w:r>
      <w:r>
        <w:t xml:space="preserve">:</w:t>
      </w:r>
      <w:r>
        <w:t xml:space="preserve"> </w:t>
      </w:r>
      <w:r>
        <w:rPr>
          <w:i/>
          <w:iCs/>
        </w:rPr>
        <w:t xml:space="preserve">Pierādiet, kā tas, kas izdara pirmo gājienu, var uzvarēt.</w:t>
      </w:r>
    </w:p>
    <w:p>
      <w:pPr>
        <w:pStyle w:val="BodyText"/>
      </w:pPr>
      <w:r>
        <w:t xml:space="preserve">Vai vieglāk ir</w:t>
      </w:r>
      <w:r>
        <w:t xml:space="preserve"> </w:t>
      </w:r>
      <w:r>
        <w:t xml:space="preserve">“parādīt”</w:t>
      </w:r>
      <w:r>
        <w:t xml:space="preserve"> </w:t>
      </w:r>
      <w:r>
        <w:t xml:space="preserve">vai</w:t>
      </w:r>
      <w:r>
        <w:t xml:space="preserve"> </w:t>
      </w:r>
      <w:r>
        <w:t xml:space="preserve">“pierādīt”</w:t>
      </w:r>
      <w:r>
        <w:t xml:space="preserve">?</w:t>
      </w:r>
    </w:p>
    <w:bookmarkEnd w:id="10"/>
    <w:bookmarkEnd w:id="11"/>
    <w:sectPr>
      <w:headerReference w:type="default" r:id="rId9"/>
      <w:footerReference w:type="default" r:id="rId10"/>
      <w:footnotePr>
        <w:numRestart w:val="eachSect"/>
      </w:footnotePr>
      <w:pgSz w:w="11906" w:h="16838"/>
      <w:pgMar w:top="1440" w:bottom="1440" w:left="1440" w:right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666666"/>
        <w:sz w:val="18"/>
      </w:rPr>
      <w:t>ĀVĢ 9.-10.klašu matemātikas fakultatīvs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color w:val="666666"/>
        <w:sz w:val="18"/>
      </w:rPr>
      <w:t>9.1.A. Atrisinājumu struktūras: Seši jautājumu tipi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hAnsi="Calibri" w:eastAsia="Calibri" w:cs="Calibri"/>
        <w:sz w:val="20"/>
        <w:szCs w:val="20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60" w:line="259" w:lineRule="auto"/>
    </w:pPr>
    <w:rPr>
      <w:rFonts w:ascii="Calibri" w:hAnsi="Calibri" w:eastAsia="Calibri" w:cs="Calibri"/>
      <w:sz w:val="20"/>
    </w:rPr>
  </w:style>
  <w:style w:styleId="BodyText" w:type="paragraph">
    <w:name w:val="Body Text"/>
    <w:basedOn w:val="Normal"/>
    <w:link w:val="BodyTextChar"/>
    <w:qFormat/>
    <w:pPr>
      <w:spacing w:after="160" w:before="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0" w:line="240" w:lineRule="auto" w:before="0"/>
      <w:contextualSpacing/>
      <w:jc w:val="center"/>
    </w:pPr>
    <w:rPr>
      <w:rFonts w:ascii="Calibri Light" w:hAnsi="Calibri Light" w:eastAsia="Calibri Light" w:cs="Calibri Light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0" w:before="240"/>
      <w:outlineLvl w:val="0"/>
    </w:pPr>
    <w:rPr>
      <w:rFonts w:ascii="Calibri Light" w:hAnsi="Calibri Light" w:eastAsia="Calibri Light" w:cs="Calibri Light"/>
      <w:color w:val="2F5496"/>
      <w:sz w:val="28"/>
      <w:szCs w:val="28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0" w:before="40"/>
      <w:outlineLvl w:val="1"/>
    </w:pPr>
    <w:rPr>
      <w:rFonts w:ascii="Calibri Light" w:hAnsi="Calibri Light" w:eastAsia="Calibri Light" w:cs="Calibri Light"/>
      <w:color w:val="2F5496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0" w:before="40"/>
      <w:outlineLvl w:val="2"/>
    </w:pPr>
    <w:rPr>
      <w:rFonts w:ascii="Calibri Light" w:hAnsi="Calibri Light" w:eastAsia="Calibri Light" w:cs="Calibri Light"/>
      <w:color w:val="2F5496"/>
      <w:sz w:val="24"/>
      <w:szCs w:val="24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0" w:before="40"/>
      <w:outlineLvl w:val="3"/>
    </w:pPr>
    <w:rPr>
      <w:rFonts w:ascii="Calibri Light" w:hAnsi="Calibri Light" w:eastAsia="Calibri Light" w:cs="Calibri Light"/>
      <w:i/>
      <w:iCs/>
      <w:color w:val="2F5496"/>
      <w:sz w:val="22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0" w:before="40"/>
      <w:outlineLvl w:val="4"/>
    </w:pPr>
    <w:rPr>
      <w:rFonts w:ascii="Calibri Light" w:hAnsi="Calibri Light" w:eastAsia="Calibri Light" w:cs="Calibri Light"/>
      <w:color w:val="2F5496"/>
      <w:sz w:val="22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ascii="Calibri Light" w:hAnsi="Calibri Light" w:eastAsia="Calibri Light" w:cs="Calibri Light"/>
      <w:i/>
      <w:iCs/>
      <w:color w:val="2F5496"/>
      <w:sz w:val="22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  <w:style w:type="paragraph" w:customStyle="1" w:styleId="Solution">
    <w:name w:val="Solution"/>
    <w:pPr>
      <w:shd w:val="clear" w:color="auto" w:fill="DCE6F1"/>
    </w:p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2026-09-17T22:50:04Z</dcterms:created>
  <dcterms:modified xsi:type="dcterms:W3CDTF">2026-09-17T22:50:04Z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x_font">
    <vt:lpwstr>Calibri</vt:lpwstr>
  </property>
  <property fmtid="{D5CDD505-2E9C-101B-9397-08002B2CF9AE}" pid="3" name="docx_fontsize">
    <vt:lpwstr>10</vt:lpwstr>
  </property>
  <property fmtid="{D5CDD505-2E9C-101B-9397-08002B2CF9AE}" pid="4" name="docx_footer">
    <vt:lpwstr>ĀVĢ 9.-10.klašu matemātikas fakultatīvs</vt:lpwstr>
  </property>
  <property fmtid="{D5CDD505-2E9C-101B-9397-08002B2CF9AE}" pid="5" name="docx_header">
    <vt:lpwstr>9.1.A. Atrisinājumu struktūras: Seši jautājumu tipi</vt:lpwstr>
  </property>
  <property fmtid="{D5CDD505-2E9C-101B-9397-08002B2CF9AE}" pid="6" name="docx_heading1_size">
    <vt:lpwstr>14</vt:lpwstr>
  </property>
  <property fmtid="{D5CDD505-2E9C-101B-9397-08002B2CF9AE}" pid="7" name="docx_heading_color">
    <vt:lpwstr>2F5496</vt:lpwstr>
  </property>
  <property fmtid="{D5CDD505-2E9C-101B-9397-08002B2CF9AE}" pid="8" name="docx_heading_font">
    <vt:lpwstr>Calibri Light</vt:lpwstr>
  </property>
  <property fmtid="{D5CDD505-2E9C-101B-9397-08002B2CF9AE}" pid="9" name="geometry">
    <vt:lpwstr>a4paper, top=2.54cm, bottom=2.54cm, left=2.54cm, right=2.54cm</vt:lpwstr>
  </property>
  <property fmtid="{D5CDD505-2E9C-101B-9397-08002B2CF9AE}" pid="10" name="layout">
    <vt:lpwstr>default</vt:lpwstr>
  </property>
  <property fmtid="{D5CDD505-2E9C-101B-9397-08002B2CF9AE}" pid="11" name="permalink">
    <vt:lpwstr>/matf910/26_27/910STRUCT_solution_structure/handout_class1/</vt:lpwstr>
  </property>
</Properties>
</file>