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aab9a8ecfd51ed250a7fd3d03de5b65f390da9b"/>
    <w:p>
      <w:pPr>
        <w:pStyle w:val="Heading1"/>
      </w:pPr>
      <w:r>
        <w:t xml:space="preserve">9.1.B. Atrisinājumu struktūras: Pierādījumi no pretējā</w:t>
      </w:r>
    </w:p>
    <w:p>
      <w:pPr>
        <w:pStyle w:val="FirstParagraph"/>
      </w:pPr>
      <w:r>
        <w:rPr>
          <w:b/>
          <w:bCs/>
        </w:rPr>
        <w:t xml:space="preserve">TODO:</w:t>
      </w:r>
      <w:r>
        <w:t xml:space="preserve"> </w:t>
      </w:r>
      <w:r>
        <w:t xml:space="preserve">(1) Minēt piemēru (var izmantot Lūisa Kerola loģikas grāmatas utml.),</w:t>
      </w:r>
      <w:r>
        <w:t xml:space="preserve"> </w:t>
      </w:r>
      <w:r>
        <w:t xml:space="preserve">kurā parādīts De Morgana likums (piemēram NOT (A AND B) vai arī NOT (A OR B)).</w:t>
      </w:r>
    </w:p>
    <w:p>
      <w:pPr>
        <w:pStyle w:val="BodyText"/>
      </w:pPr>
      <w:r>
        <w:rPr>
          <w:b/>
          <w:bCs/>
        </w:rPr>
        <w:t xml:space="preserve">1.piemērs:</w:t>
      </w:r>
      <w:r>
        <w:t xml:space="preserve"> </w:t>
      </w:r>
      <w:r>
        <w:t xml:space="preserve">Vai var atrast tādus veselus skaitļus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b</m:t>
        </m:r>
      </m:oMath>
      <w:r>
        <w:t xml:space="preserve">, ka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43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434343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Saprašana:</w:t>
      </w:r>
      <w:r>
        <w:t xml:space="preserve"> </w:t>
      </w:r>
      <w:r>
        <w:t xml:space="preserve">“Vai var”</w:t>
      </w:r>
      <w:r>
        <w:t xml:space="preserve"> </w:t>
      </w:r>
      <w:r>
        <w:t xml:space="preserve">- atbildei</w:t>
      </w:r>
      <w:r>
        <w:t xml:space="preserve"> </w:t>
      </w:r>
      <w:r>
        <w:t xml:space="preserve">“jā”</w:t>
      </w:r>
      <w:r>
        <w:t xml:space="preserve"> </w:t>
      </w:r>
      <w:r>
        <w:t xml:space="preserve">pietiek ar vienu piemēru, bet atbildei</w:t>
      </w:r>
      <w:r>
        <w:t xml:space="preserve"> </w:t>
      </w:r>
      <w:r>
        <w:t xml:space="preserve">“nē”</w:t>
      </w:r>
      <w:r>
        <w:t xml:space="preserve"> </w:t>
      </w:r>
      <w:r>
        <w:t xml:space="preserve">vajag spriedumu par</w:t>
      </w:r>
      <w:r>
        <w:t xml:space="preserve"> </w:t>
      </w:r>
      <w:r>
        <w:rPr>
          <w:b/>
          <w:bCs/>
        </w:rPr>
        <w:t xml:space="preserve">visiem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Izpēte:</w:t>
      </w:r>
      <w:r>
        <w:t xml:space="preserve"> </w:t>
      </w:r>
      <w:r>
        <w:t xml:space="preserve">Ievieto dažus mazus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b</m:t>
        </m:r>
      </m:oMath>
      <w:r>
        <w:t xml:space="preserve">. Kādus rezultātus var iegūt?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Pārformulēšana:</w:t>
      </w:r>
      <w:r>
        <w:t xml:space="preserve"> </w:t>
      </w:r>
      <w:r>
        <w:t xml:space="preserve">Kādu skaitļu reizinājums var būt nepāra skaitlis</w:t>
      </w:r>
      <w:r>
        <w:t xml:space="preserve"> </w:t>
      </w:r>
      <m:oMath>
        <m:r>
          <m:t>434343</m:t>
        </m:r>
      </m:oMath>
      <w:r>
        <w:t xml:space="preserve">?</w:t>
      </w:r>
      <w:r>
        <w:t xml:space="preserve"> </w:t>
      </w:r>
      <w:r>
        <w:t xml:space="preserve">Kādas ir prasības par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43</m:t>
        </m:r>
        <m:r>
          <m:t>b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Risināšana:</w:t>
      </w:r>
      <w:r>
        <w:t xml:space="preserve"> </w:t>
      </w:r>
      <w:r>
        <w:t xml:space="preserve">Var šķirot dažādus gadījumus, kamēr atrod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ar vēlamajām</w:t>
      </w:r>
      <w:r>
        <w:t xml:space="preserve"> </w:t>
      </w:r>
      <w:r>
        <w:t xml:space="preserve">īpašībām vai arī iegūst pretrunu.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Atskats:</w:t>
      </w:r>
      <w:r>
        <w:t xml:space="preserve"> </w:t>
      </w:r>
      <w:r>
        <w:t xml:space="preserve">Vai gadījumi aptver arī nulli un negatīvus veselus skaitļus?</w:t>
      </w:r>
    </w:p>
    <w:p>
      <w:pPr>
        <w:pStyle w:val="FirstParagraph"/>
      </w:pPr>
      <w:r>
        <w:rPr>
          <w:b/>
          <w:bCs/>
        </w:rPr>
        <w:t xml:space="preserve">2.piemērs:</w:t>
      </w:r>
      <w:r>
        <w:t xml:space="preserve"> </w:t>
      </w:r>
      <w:r>
        <w:t xml:space="preserve">Katrs no</w:t>
      </w:r>
      <w:r>
        <w:t xml:space="preserve"> </w:t>
      </w:r>
      <m:oMath>
        <m:r>
          <m:t>28</m:t>
        </m:r>
      </m:oMath>
      <w:r>
        <w:t xml:space="preserve"> </w:t>
      </w:r>
      <w:r>
        <w:t xml:space="preserve">klases skolēniem kontroldarbā saņēma atzīmi,</w:t>
      </w:r>
      <w:r>
        <w:t xml:space="preserve"> </w:t>
      </w:r>
      <w:r>
        <w:t xml:space="preserve">kas ir vesels skaitlis robežās no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līdz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ballēm. Pamatot, ka vai nu</w:t>
      </w:r>
      <w:r>
        <w:t xml:space="preserve"> </w:t>
      </w:r>
      <w:r>
        <w:t xml:space="preserve">vismaz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skolēniem ir vienāda atzīme, vai arī</w:t>
      </w:r>
      <w:r>
        <w:t xml:space="preserve"> </w:t>
      </w:r>
      <w:r>
        <w:t xml:space="preserve">vismaz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skolēni ieguva atzīmi, kas ir augstāka nekā</w:t>
      </w:r>
      <w:r>
        <w:t xml:space="preserve"> </w:t>
      </w:r>
      <m:oMath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Saprašana:</w:t>
      </w:r>
      <w:r>
        <w:t xml:space="preserve"> </w:t>
      </w:r>
      <w:r>
        <w:t xml:space="preserve">Jāpierāda</w:t>
      </w:r>
      <w:r>
        <w:t xml:space="preserve"> </w:t>
      </w:r>
      <w:r>
        <w:t xml:space="preserve">“A vai B”</w:t>
      </w:r>
      <w:r>
        <w:t xml:space="preserve">. Pieņem pretējo - pēc De Morgana likuma noliegums ir</w:t>
      </w:r>
      <w:r>
        <w:t xml:space="preserve"> </w:t>
      </w:r>
      <w:r>
        <w:t xml:space="preserve">“ne A</w:t>
      </w:r>
      <w:r>
        <w:t xml:space="preserve"> </w:t>
      </w:r>
      <w:r>
        <w:rPr>
          <w:b/>
          <w:bCs/>
        </w:rPr>
        <w:t xml:space="preserve">un</w:t>
      </w:r>
      <w:r>
        <w:t xml:space="preserve"> </w:t>
      </w:r>
      <w:r>
        <w:t xml:space="preserve">ne B”</w:t>
      </w:r>
      <w:r>
        <w:t xml:space="preserve">, t.i., jāpieņem abas daļas reizē.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Saprašana:</w:t>
      </w:r>
      <w:r>
        <w:t xml:space="preserve"> </w:t>
      </w:r>
      <w:r>
        <w:t xml:space="preserve">Ko nozīmē</w:t>
      </w:r>
      <w:r>
        <w:t xml:space="preserve"> </w:t>
      </w:r>
      <w:r>
        <w:t xml:space="preserve">“Ne A”</w:t>
      </w:r>
      <w:r>
        <w:t xml:space="preserve"> </w:t>
      </w:r>
      <w:r>
        <w:t xml:space="preserve">(pateikt vienkāršāk šo:</w:t>
      </w:r>
      <w:r>
        <w:t xml:space="preserve"> </w:t>
      </w:r>
      <w:r>
        <w:t xml:space="preserve">“nav taisnība, ka vismaz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skolēniem</w:t>
      </w:r>
      <w:r>
        <w:t xml:space="preserve"> </w:t>
      </w:r>
      <w:r>
        <w:t xml:space="preserve">ir vienāda atzīme”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Saprašana:</w:t>
      </w:r>
      <w:r>
        <w:t xml:space="preserve"> </w:t>
      </w:r>
      <w:r>
        <w:t xml:space="preserve">Ko nozīmē</w:t>
      </w:r>
      <w:r>
        <w:t xml:space="preserve"> </w:t>
      </w:r>
      <w:r>
        <w:t xml:space="preserve">“Ne B”</w:t>
      </w:r>
      <w:r>
        <w:t xml:space="preserve"> </w:t>
      </w:r>
      <w:r>
        <w:t xml:space="preserve">(pateikt vienkāršāk šo:</w:t>
      </w:r>
      <w:r>
        <w:t xml:space="preserve"> </w:t>
      </w:r>
      <w:r>
        <w:t xml:space="preserve">“nav taisnība, ka vismaz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skolēni</w:t>
      </w:r>
      <w:r>
        <w:t xml:space="preserve"> </w:t>
      </w:r>
      <w:r>
        <w:t xml:space="preserve">ieguva atzīmi, kas augstāka par</w:t>
      </w:r>
      <w:r>
        <w:t xml:space="preserve"> </w:t>
      </w:r>
      <m:oMath>
        <m:r>
          <m:t>7</m:t>
        </m:r>
      </m:oMath>
      <w:r>
        <w:t xml:space="preserve">”</w:t>
      </w:r>
      <w:r>
        <w:t xml:space="preserve">).</w:t>
      </w:r>
    </w:p>
    <w:p>
      <w:pPr>
        <w:pBdr>
          <w:bottom w:val="single" w:sz="8" w:space="1" w:color="000000"/>
        </w:pBdr>
      </w:pPr>
    </w:p>
    <w:bookmarkStart w:id="9" w:name="uzdevums"/>
    <w:p>
      <w:pPr>
        <w:pStyle w:val="Heading2"/>
      </w:pPr>
      <w:r>
        <w:t xml:space="preserve">1.uzdevums</w:t>
      </w:r>
    </w:p>
    <w:p>
      <w:pPr>
        <w:pStyle w:val="BlockText"/>
      </w:pPr>
      <w:r>
        <w:rPr>
          <w:b/>
          <w:bCs/>
        </w:rPr>
        <w:t xml:space="preserve">LV.AMO.2003.7.3:</w:t>
      </w:r>
      <w:r>
        <w:br/>
      </w:r>
      <w:r>
        <w:t xml:space="preserve">Divi spēlētāji pamīšus raksta uz tāfeles pa vienam naturālam skaitlim no 1 līdz 9 ieskaitot.</w:t>
      </w:r>
      <w:r>
        <w:t xml:space="preserve"> </w:t>
      </w:r>
      <w:r>
        <w:t xml:space="preserve">Nedrīkst rakstīt skaitļus, ar kuriem dalās kaut viens jau uzrakstīts skaitlis.</w:t>
      </w:r>
      <w:r>
        <w:t xml:space="preserve"> </w:t>
      </w:r>
      <w:r>
        <w:t xml:space="preserve">Kas nevar izdarīt gājienu, zaudē.</w:t>
      </w:r>
      <w:r>
        <w:t xml:space="preserve"> </w:t>
      </w:r>
      <w:r>
        <w:t xml:space="preserve">Parādiet, kā tas, kas izdara pirmo gājienu, var uzvarēt.</w:t>
      </w:r>
    </w:p>
    <w:p>
      <w:pPr>
        <w:pStyle w:val="FirstParagraph"/>
      </w:pPr>
      <w:r>
        <w:t xml:space="preserve">Pirms šo risināt, pierakstiet, kādas daļas būtu jāsatur pilnam šī uzdevuma atrisinājumam.</w:t>
      </w:r>
      <w:r>
        <w:t xml:space="preserve"> </w:t>
      </w:r>
      <w:r>
        <w:t xml:space="preserve">Kad tas pierakstīts, var spēlēt šo spēli ar blakussēdētāju (vai patstāvīgi analizējot</w:t>
      </w:r>
      <w:r>
        <w:t xml:space="preserve"> </w:t>
      </w:r>
      <w:r>
        <w:t xml:space="preserve">abu pušu gājienus) un saprast, kurš un kā var uzvarēt.</w:t>
      </w:r>
    </w:p>
    <w:bookmarkEnd w:id="9"/>
    <w:bookmarkStart w:id="10" w:name="uzdevums-1"/>
    <w:p>
      <w:pPr>
        <w:pStyle w:val="Heading2"/>
      </w:pPr>
      <w:r>
        <w:t xml:space="preserve">2.uzdevums</w:t>
      </w:r>
    </w:p>
    <w:p>
      <w:pPr>
        <w:pStyle w:val="FirstParagraph"/>
      </w:pPr>
      <w:r>
        <w:t xml:space="preserve">Kā mainīsies iepriekšējā uzdevuma atrisinājums, ja pēdējā teikumā</w:t>
      </w:r>
      <w:r>
        <w:t xml:space="preserve"> </w:t>
      </w:r>
      <w:r>
        <w:t xml:space="preserve">“Parādiet”</w:t>
      </w:r>
      <w:r>
        <w:t xml:space="preserve"> </w:t>
      </w:r>
      <w:r>
        <w:t xml:space="preserve">nomainītu uz</w:t>
      </w:r>
      <w:r>
        <w:t xml:space="preserve"> </w:t>
      </w:r>
      <w:r>
        <w:t xml:space="preserve">“Pierādiet”</w:t>
      </w:r>
      <w:r>
        <w:t xml:space="preserve">:</w:t>
      </w:r>
      <w:r>
        <w:t xml:space="preserve"> </w:t>
      </w:r>
      <w:r>
        <w:rPr>
          <w:i/>
          <w:iCs/>
        </w:rPr>
        <w:t xml:space="preserve">Pierādiet, kā tas, kas izdara pirmo gājienu, var uzvarēt.</w:t>
      </w:r>
    </w:p>
    <w:p>
      <w:pPr>
        <w:pStyle w:val="BodyText"/>
      </w:pPr>
      <w:r>
        <w:t xml:space="preserve">Vai vieglāk ir</w:t>
      </w:r>
      <w:r>
        <w:t xml:space="preserve"> </w:t>
      </w:r>
      <w:r>
        <w:t xml:space="preserve">“parādīt”</w:t>
      </w:r>
      <w:r>
        <w:t xml:space="preserve"> </w:t>
      </w:r>
      <w:r>
        <w:t xml:space="preserve">vai</w:t>
      </w:r>
      <w:r>
        <w:t xml:space="preserve"> </w:t>
      </w:r>
      <w:r>
        <w:t xml:space="preserve">“pierādīt”</w:t>
      </w:r>
      <w:r>
        <w:t xml:space="preserve">?</w:t>
      </w:r>
    </w:p>
    <w:bookmarkEnd w:id="10"/>
    <w:bookmarkEnd w:id="11"/>
    <w:sectPr>
      <w:headerReference w:type="default" r:id="rId9"/>
      <w:footerReference w:type="default" r:id="rId10"/>
      <w:footnotePr>
        <w:numRestart w:val="eachSect"/>
      </w:footnotePr>
      <w:pgSz w:w="11906" w:h="16838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>ĀVĢ 9.-10.klašu matemātikas fakultatīvs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66666"/>
        <w:sz w:val="18"/>
      </w:rPr>
      <w:t>9.1.B. Atrisinājumu struktūras: Pierādījumi no pretējā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59" w:lineRule="auto"/>
    </w:pPr>
    <w:rPr>
      <w:rFonts w:ascii="Calibri" w:hAnsi="Calibri" w:eastAsia="Calibri" w:cs="Calibri"/>
      <w:sz w:val="20"/>
    </w:rPr>
  </w:style>
  <w:style w:styleId="BodyText" w:type="paragraph">
    <w:name w:val="Body Text"/>
    <w:basedOn w:val="Normal"/>
    <w:link w:val="BodyTextChar"/>
    <w:qFormat/>
    <w:pPr>
      <w:spacing w:after="16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line="240" w:lineRule="auto" w:before="0"/>
      <w:contextualSpacing/>
      <w:jc w:val="center"/>
    </w:pPr>
    <w:rPr>
      <w:rFonts w:ascii="Calibri Light" w:hAnsi="Calibri Light" w:eastAsia="Calibri Light" w:cs="Calibri Light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240"/>
      <w:outlineLvl w:val="0"/>
    </w:pPr>
    <w:rPr>
      <w:rFonts w:ascii="Calibri Light" w:hAnsi="Calibri Light" w:eastAsia="Calibri Light" w:cs="Calibri Light"/>
      <w:color w:val="2F5496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40"/>
      <w:outlineLvl w:val="1"/>
    </w:pPr>
    <w:rPr>
      <w:rFonts w:ascii="Calibri Light" w:hAnsi="Calibri Light" w:eastAsia="Calibri Light" w:cs="Calibri Light"/>
      <w:color w:val="2F5496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40"/>
      <w:outlineLvl w:val="2"/>
    </w:pPr>
    <w:rPr>
      <w:rFonts w:ascii="Calibri Light" w:hAnsi="Calibri Light" w:eastAsia="Calibri Light" w:cs="Calibri Light"/>
      <w:color w:val="2F5496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0" w:before="40"/>
      <w:outlineLvl w:val="3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0" w:before="40"/>
      <w:outlineLvl w:val="4"/>
    </w:pPr>
    <w:rPr>
      <w:rFonts w:ascii="Calibri Light" w:hAnsi="Calibri Light" w:eastAsia="Calibri Light" w:cs="Calibri Light"/>
      <w:color w:val="2F5496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Solution">
    <w:name w:val="Solution"/>
    <w:pPr>
      <w:shd w:val="clear" w:color="auto" w:fill="DCE6F1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2026-09-17T22:50:10Z</dcterms:created>
  <dcterms:modified xsi:type="dcterms:W3CDTF">2026-09-17T22:50:10Z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x_font">
    <vt:lpwstr>Calibri</vt:lpwstr>
  </property>
  <property fmtid="{D5CDD505-2E9C-101B-9397-08002B2CF9AE}" pid="3" name="docx_fontsize">
    <vt:lpwstr>10</vt:lpwstr>
  </property>
  <property fmtid="{D5CDD505-2E9C-101B-9397-08002B2CF9AE}" pid="4" name="docx_footer">
    <vt:lpwstr>ĀVĢ 9.-10.klašu matemātikas fakultatīvs</vt:lpwstr>
  </property>
  <property fmtid="{D5CDD505-2E9C-101B-9397-08002B2CF9AE}" pid="5" name="docx_header">
    <vt:lpwstr>9.1.B. Atrisinājumu struktūras: Pierādījumi no pretējā</vt:lpwstr>
  </property>
  <property fmtid="{D5CDD505-2E9C-101B-9397-08002B2CF9AE}" pid="6" name="docx_heading1_size">
    <vt:lpwstr>14</vt:lpwstr>
  </property>
  <property fmtid="{D5CDD505-2E9C-101B-9397-08002B2CF9AE}" pid="7" name="docx_heading_color">
    <vt:lpwstr>2F5496</vt:lpwstr>
  </property>
  <property fmtid="{D5CDD505-2E9C-101B-9397-08002B2CF9AE}" pid="8" name="docx_heading_font">
    <vt:lpwstr>Calibri Light</vt:lpwstr>
  </property>
  <property fmtid="{D5CDD505-2E9C-101B-9397-08002B2CF9AE}" pid="9" name="geometry">
    <vt:lpwstr>a4paper, top=2.54cm, bottom=2.54cm, left=2.54cm, right=2.54cm</vt:lpwstr>
  </property>
  <property fmtid="{D5CDD505-2E9C-101B-9397-08002B2CF9AE}" pid="10" name="layout">
    <vt:lpwstr>default</vt:lpwstr>
  </property>
  <property fmtid="{D5CDD505-2E9C-101B-9397-08002B2CF9AE}" pid="11" name="permalink">
    <vt:lpwstr>/matf910/26_27/910STRUCT_solution_structure/handout_class1/</vt:lpwstr>
  </property>
</Properties>
</file>