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.-invarianti-rūtiņu-krāsojumi"/>
    <w:p>
      <w:pPr>
        <w:pStyle w:val="Heading1"/>
      </w:pPr>
      <w:r>
        <w:t xml:space="preserve">7.2.B. Invarianti: Rūtiņu krāsojumi</w:t>
      </w:r>
    </w:p>
    <w:p>
      <w:pPr>
        <w:pStyle w:val="FirstParagraph"/>
      </w:pPr>
      <w:r>
        <w:t xml:space="preserve">Dažos uzdevumos nav uzreiz nekā derīga, ko invariants varētu saskaitīt,</w:t>
      </w:r>
      <w:r>
        <w:t xml:space="preserve"> </w:t>
      </w:r>
      <w:r>
        <w:t xml:space="preserve">bet to iegūst, piemēram</w:t>
      </w:r>
      <w:r>
        <w:t xml:space="preserve"> </w:t>
      </w:r>
      <w:r>
        <w:rPr>
          <w:b/>
          <w:bCs/>
        </w:rPr>
        <w:t xml:space="preserve">izvēloties krāsojumu</w:t>
      </w:r>
      <w:r>
        <w:t xml:space="preserve"> </w:t>
      </w:r>
      <w:r>
        <w:t xml:space="preserve">(šaha, joslu, trīs krāsu) un tad</w:t>
      </w:r>
      <w:r>
        <w:t xml:space="preserve"> </w:t>
      </w:r>
      <w:r>
        <w:t xml:space="preserve">skaitot noteiktas krāsas rūtiņas.</w:t>
      </w:r>
      <w:r>
        <w:t xml:space="preserve"> </w:t>
      </w:r>
      <w:r>
        <w:t xml:space="preserve">Arī apstaigāšanas uzdevumus un spēles var analizēt izvēloties</w:t>
      </w:r>
      <w:r>
        <w:t xml:space="preserve"> </w:t>
      </w:r>
      <w:r>
        <w:rPr>
          <w:i/>
          <w:iCs/>
        </w:rPr>
        <w:t xml:space="preserve">krāsošanas invariantu</w:t>
      </w:r>
      <w:r>
        <w:t xml:space="preserve">.</w:t>
      </w:r>
      <w:r>
        <w:t xml:space="preserve"> </w:t>
      </w:r>
      <w:r>
        <w:t xml:space="preserve">Piemēram, šaha laidnis nekad nemaina rūtiņas krāsu,</w:t>
      </w:r>
      <w:r>
        <w:t xml:space="preserve"> </w:t>
      </w:r>
      <w:r>
        <w:t xml:space="preserve">šaha zirdziņš katrā gājienā maina rūtiņas krāsu – var atsevišķi aplūkot</w:t>
      </w:r>
      <w:r>
        <w:t xml:space="preserve"> </w:t>
      </w:r>
      <w:r>
        <w:t xml:space="preserve">pāra un nepāra gājienus.</w:t>
      </w:r>
      <w:r>
        <w:br/>
      </w:r>
      <w:r>
        <w:t xml:space="preserve">Arī šeit risinātājs definē invariantu, salīdzina to sākumā un beigās, secina neiespējamību.</w:t>
      </w:r>
    </w:p>
    <w:p>
      <w:pPr>
        <w:pStyle w:val="BodyText"/>
      </w:pPr>
      <w:r>
        <w:rPr>
          <w:b/>
          <w:bCs/>
        </w:rPr>
        <w:t xml:space="preserve">1.piemērs:</w:t>
      </w:r>
      <w:r>
        <w:t xml:space="preserve"> </w:t>
      </w:r>
      <w:r>
        <w:t xml:space="preserve">No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kvadrāta izgriež vienu rūtiņu. Vai atlikušās</w:t>
      </w:r>
      <w:r>
        <w:t xml:space="preserve"> </w:t>
      </w:r>
      <m:oMath>
        <m:r>
          <m:t>63</m:t>
        </m:r>
      </m:oMath>
      <w:r>
        <w:t xml:space="preserve"> </w:t>
      </w:r>
      <w:r>
        <w:t xml:space="preserve">rūtiņas var</w:t>
      </w:r>
      <w:r>
        <w:t xml:space="preserve"> </w:t>
      </w:r>
      <w:r>
        <w:t xml:space="preserve">sagriezt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taisnstūrīšos? Kur jāizgriež rūtiņa, lai varētu šādi</w:t>
      </w:r>
      <w:r>
        <w:t xml:space="preserve"> </w:t>
      </w:r>
      <w:r>
        <w:t xml:space="preserve">sagriezt? Vai to var izdarīt kādam no kvadrātiem zīmējumā?</w:t>
      </w:r>
    </w:p>
    <w:p>
      <w:pPr>
        <w:pStyle w:val="BodyText"/>
      </w:pPr>
      <w:r>
        <w:drawing>
          <wp:inline>
            <wp:extent cx="2857500" cy="139668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05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96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Saprašana:</w:t>
      </w:r>
      <w:r>
        <w:t xml:space="preserve"> </w:t>
      </w:r>
      <m:oMath>
        <m:r>
          <m:t>63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21</m:t>
        </m:r>
      </m:oMath>
      <w:r>
        <w:t xml:space="preserve">, tātad laukums vienmēr dalās ar 3.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Zīmējumos var saskaitīt burtus/krāsas A,B,C. Kādiem skaitiem jābūt, lai varētu sagriezt?</w:t>
      </w:r>
    </w:p>
    <w:p>
      <w:pPr>
        <w:pStyle w:val="FirstParagraph"/>
      </w:pPr>
      <w:r>
        <w:rPr>
          <w:b/>
          <w:bCs/>
        </w:rPr>
        <w:t xml:space="preserve">2.piemērs:</w:t>
      </w:r>
      <w:r>
        <w:t xml:space="preserve"> </w:t>
      </w:r>
      <w:r>
        <w:t xml:space="preserve">Vai taisnstūri ar izmēriem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rūtiņas var pārklāt ar 4.att.</w:t>
      </w:r>
      <w:r>
        <w:t xml:space="preserve"> </w:t>
      </w:r>
      <w:r>
        <w:t xml:space="preserve">redzamajām figūrām?</w:t>
      </w:r>
    </w:p>
    <w:p>
      <w:pPr>
        <w:pStyle w:val="BodyText"/>
      </w:pPr>
      <w:r>
        <w:drawing>
          <wp:inline>
            <wp:extent cx="1905000" cy="59932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LV.AMO.2015.7.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Ja sagaidām, ka nevar - vajag spriedumu par visiem</w:t>
      </w:r>
      <w:r>
        <w:t xml:space="preserve"> </w:t>
      </w:r>
      <w:r>
        <w:t xml:space="preserve">iespējamiem pārklājumiem uzreiz.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Nokrāso taisnstūri kā šaha galdiņu; saskaiti</w:t>
      </w:r>
      <w:r>
        <w:t xml:space="preserve"> </w:t>
      </w:r>
      <w:r>
        <w:rPr>
          <w:i/>
          <w:iCs/>
        </w:rPr>
        <w:t xml:space="preserve">katram pagriezienam</w:t>
      </w:r>
      <w:r>
        <w:t xml:space="preserve"> </w:t>
      </w:r>
      <w:r>
        <w:t xml:space="preserve">melnās rūtiņas.</w:t>
      </w:r>
      <w:r>
        <w:t xml:space="preserve"> </w:t>
      </w:r>
      <w:r>
        <w:t xml:space="preserve">sanāk tas pats. Kāpēc šis pats spriedums bez izmaiņām strādā arī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taisnstūrim (LV.AMO.2015.8.2)?</w:t>
      </w:r>
    </w:p>
    <w:p>
      <w:pPr>
        <w:pBdr>
          <w:bottom w:val="single" w:sz="8" w:space="1" w:color="000000"/>
        </w:pBdr>
      </w:pPr>
    </w:p>
    <w:bookmarkStart w:id="18" w:name="uzdevums"/>
    <w:p>
      <w:pPr>
        <w:pStyle w:val="Heading2"/>
      </w:pPr>
      <w:r>
        <w:t xml:space="preserve">1.uzdevums</w:t>
      </w:r>
    </w:p>
    <w:p>
      <w:pPr>
        <w:pStyle w:val="FirstParagraph"/>
      </w:pPr>
      <w:r>
        <w:t xml:space="preserve">Vai taisnstūri ar izmēriem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6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8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11</m:t>
        </m:r>
      </m:oMath>
      <w:r>
        <w:t xml:space="preserve"> </w:t>
      </w:r>
      <w:r>
        <w:t xml:space="preserve">rūtiņas var noklāt ar attēlā dotajām figūrām?</w:t>
      </w:r>
      <w:r>
        <w:t xml:space="preserve"> </w:t>
      </w:r>
      <w:r>
        <w:t xml:space="preserve">Taisnstūrim jābūt pilnībā noklātam. Figūras nedrīkst iziet ārpus</w:t>
      </w:r>
      <w:r>
        <w:t xml:space="preserve"> </w:t>
      </w:r>
      <w:r>
        <w:t xml:space="preserve">taisnstūra, figūras nedrīkst pārklāties, figūras drīkst pagriezt.</w:t>
      </w:r>
    </w:p>
    <w:p>
      <w:pPr>
        <w:pStyle w:val="BodyText"/>
      </w:pPr>
      <w:r>
        <w:drawing>
          <wp:inline>
            <wp:extent cx="476250" cy="332033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t_tetromino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332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3" w:name="uzdevums-pl.omj.2022.s1.5"/>
    <w:p>
      <w:pPr>
        <w:pStyle w:val="Heading2"/>
      </w:pPr>
      <w:r>
        <w:t xml:space="preserve">2.uzdevums (PL.OMJ.2022.S1.5)</w:t>
      </w:r>
    </w:p>
    <w:p>
      <w:pPr>
        <w:pStyle w:val="FirstParagraph"/>
      </w:pPr>
      <w:r>
        <w:t xml:space="preserve">Pieņemsim, ka</w:t>
      </w:r>
      <w:r>
        <w:t xml:space="preserve"> </w:t>
      </w:r>
      <w:r>
        <w:t xml:space="preserve">“pluss”</w:t>
      </w:r>
      <w:r>
        <w:t xml:space="preserve"> </w:t>
      </w:r>
      <w:r>
        <w:t xml:space="preserve">ir diagrammā attēlotā figūra, kas sastāv no</w:t>
      </w:r>
      <w:r>
        <w:t xml:space="preserve"> </w:t>
      </w:r>
      <w:r>
        <w:t xml:space="preserve">pieciem kvadrātiem ar malas garumu 1, bet</w:t>
      </w:r>
      <w:r>
        <w:t xml:space="preserve"> </w:t>
      </w:r>
      <w:r>
        <w:t xml:space="preserve">“mīnuss”</w:t>
      </w:r>
      <w:r>
        <w:t xml:space="preserve"> </w:t>
      </w:r>
      <w:r>
        <w:t xml:space="preserve">ir jebkurš</w:t>
      </w:r>
      <w:r>
        <w:t xml:space="preserve"> </w:t>
      </w:r>
      <w:r>
        <w:t xml:space="preserve">taisnstūris, kas sastāv no diviem šādiem kvadrātiem. Vai eksistē</w:t>
      </w:r>
      <w:r>
        <w:t xml:space="preserve"> </w:t>
      </w:r>
      <w:r>
        <w:t xml:space="preserve">nepāra skaitlis</w:t>
      </w:r>
      <w:r>
        <w:t xml:space="preserve"> </w:t>
      </w:r>
      <m:oMath>
        <m:r>
          <m:t>n</m:t>
        </m:r>
      </m:oMath>
      <w:r>
        <w:t xml:space="preserve">, ka kvadrātu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rūtiņas var sadalīt</w:t>
      </w:r>
      <w:r>
        <w:t xml:space="preserve"> </w:t>
      </w:r>
      <w:r>
        <w:t xml:space="preserve">“plusos”</w:t>
      </w:r>
      <w:r>
        <w:t xml:space="preserve"> </w:t>
      </w:r>
      <w:r>
        <w:t xml:space="preserve">un</w:t>
      </w:r>
      <w:r>
        <w:t xml:space="preserve"> </w:t>
      </w:r>
      <w:r>
        <w:t xml:space="preserve">“mīnusos”</w:t>
      </w:r>
      <w:r>
        <w:t xml:space="preserve">? Pamatojiet savu atbildi.</w:t>
      </w:r>
    </w:p>
    <w:p>
      <w:pPr>
        <w:pStyle w:val="BodyText"/>
      </w:pPr>
      <w:r>
        <w:drawing>
          <wp:inline>
            <wp:extent cx="1428750" cy="739758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plus_minu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739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Olimpiada Matematyczna Juniorów</w:t>
      </w:r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https://omj.edu.pl/zadania</w:t>
        </w:r>
      </w:hyperlink>
      <w:r>
        <w:t xml:space="preserve">)</w:t>
      </w:r>
    </w:p>
    <w:bookmarkEnd w:id="23"/>
    <w:bookmarkEnd w:id="24"/>
    <w:sectPr>
      <w:headerReference w:type="default" r:id="rId10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7.2.B. Invarianti: Rūtiņu krāsojumi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9" Type="http://schemas.openxmlformats.org/officeDocument/2006/relationships/image" Target="media/rId9.png"/><Relationship Id="rId19" Type="http://schemas.openxmlformats.org/officeDocument/2006/relationships/image" Target="media/rId19.png"/><Relationship Id="rId15" Type="http://schemas.openxmlformats.org/officeDocument/2006/relationships/image" Target="media/rId15.png"/><Relationship Id="rId22" Type="http://schemas.openxmlformats.org/officeDocument/2006/relationships/hyperlink" Target="https://omj.edu.pl/zadania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omj.edu.pl/zadan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2026-09-20T18:38:07Z</dcterms:created>
  <dcterms:modified xsi:type="dcterms:W3CDTF">2026-09-20T18:38:07Z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7.2.B. Invarianti: Rūtiņu krāsojumi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/matf78/26_27/78_invariants/class2/</vt:lpwstr>
  </property>
</Properties>
</file>