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3440"/>
                                  <a:ext cx="592560" cy="28116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5;width:932;height:442;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i/>
                <w:iCs/>
                <w:sz w:val="20"/>
                <w:szCs w:val="20"/>
              </w:rPr>
              <w:t>Hebrew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{{first}}</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bCs/>
                <w:i/>
                <w:iCs/>
                <w:sz w:val="20"/>
                <w:szCs w:val="20"/>
              </w:rPr>
              <w:t>AM -</w:t>
            </w:r>
            <w:r>
              <w:rPr>
                <w:rStyle w:val="Fuentedeprrafopredeter"/>
                <w:i/>
                <w:iCs/>
                <w:sz w:val="20"/>
                <w:szCs w:val="20"/>
              </w:rPr>
              <w:t xml:space="preserve"> 2-wheel, 3-wheel vehicles and light quadricycles with a maximum design speed of not more than 45 km/h.</w:t>
            </w:r>
          </w:p>
          <w:p>
            <w:pPr>
              <w:pStyle w:val="LO-Normal"/>
              <w:widowControl w:val="false"/>
              <w:rPr/>
            </w:pPr>
            <w:r>
              <w:rPr>
                <w:rStyle w:val="Fuentedeprrafopredeter"/>
                <w:b/>
                <w:bCs/>
                <w:i/>
                <w:iCs/>
                <w:sz w:val="20"/>
                <w:szCs w:val="20"/>
              </w:rPr>
              <w:t xml:space="preserve">A1 - </w:t>
            </w:r>
            <w:r>
              <w:rPr>
                <w:rStyle w:val="Fuentedeprrafopredeter"/>
                <w:i/>
                <w:iCs/>
                <w:sz w:val="20"/>
                <w:szCs w:val="20"/>
              </w:rPr>
              <w:t>light motorcycles with a cylinder capacity not more than 125 cubic centimetres and a power rating less than 11 kW.</w:t>
            </w:r>
          </w:p>
          <w:p>
            <w:pPr>
              <w:pStyle w:val="LO-Normal"/>
              <w:widowControl w:val="false"/>
              <w:rPr/>
            </w:pPr>
            <w:r>
              <w:rPr>
                <w:rStyle w:val="Fuentedeprrafopredeter"/>
                <w:b/>
                <w:bCs/>
                <w:i/>
                <w:iCs/>
                <w:sz w:val="20"/>
                <w:szCs w:val="20"/>
              </w:rPr>
              <w:t xml:space="preserve">A2 - </w:t>
            </w:r>
            <w:r>
              <w:rPr>
                <w:rStyle w:val="Fuentedeprrafopredeter"/>
                <w:i/>
                <w:iCs/>
                <w:sz w:val="20"/>
                <w:szCs w:val="20"/>
              </w:rPr>
              <w:t>motorcycles with a power rating under 35 kW.</w:t>
            </w:r>
          </w:p>
          <w:p>
            <w:pPr>
              <w:pStyle w:val="LO-Normal"/>
              <w:widowControl w:val="false"/>
              <w:rPr/>
            </w:pPr>
            <w:r>
              <w:rPr>
                <w:rStyle w:val="Fuentedeprrafopredeter"/>
                <w:b/>
                <w:bCs/>
                <w:i/>
                <w:iCs/>
                <w:sz w:val="20"/>
                <w:szCs w:val="20"/>
              </w:rPr>
              <w:t xml:space="preserve">A - </w:t>
            </w:r>
            <w:r>
              <w:rPr>
                <w:rStyle w:val="Fuentedeprrafopredeter"/>
                <w:i/>
                <w:iCs/>
                <w:sz w:val="20"/>
                <w:szCs w:val="20"/>
              </w:rPr>
              <w:t>heavy motorcycles without power restrictions.</w:t>
            </w:r>
          </w:p>
          <w:p>
            <w:pPr>
              <w:pStyle w:val="Sinespaciado"/>
              <w:widowControl w:val="false"/>
              <w:jc w:val="both"/>
              <w:rPr/>
            </w:pPr>
            <w:r>
              <w:rPr>
                <w:rStyle w:val="Fuentedeprrafopredeter"/>
                <w:rFonts w:cs="Lohit Devanagari"/>
                <w:b/>
                <w:bCs/>
                <w:i/>
                <w:iCs/>
                <w:sz w:val="20"/>
                <w:szCs w:val="20"/>
                <w:lang w:val="en-US"/>
              </w:rPr>
              <w:t>B1 -</w:t>
            </w:r>
            <w:r>
              <w:rPr>
                <w:rStyle w:val="Fuentedeprrafopredeter"/>
                <w:rFonts w:cs="Lohit Devanagari"/>
                <w:i/>
                <w:iCs/>
                <w:sz w:val="20"/>
                <w:szCs w:val="20"/>
                <w:lang w:val="en-US"/>
              </w:rPr>
              <w:t xml:space="preserve"> heavy motorized quadricycle whose empty weight is a maximum of 450 kg if it is intended for the transport of persons, and 600 kg if it is intended for the transport of goods.</w:t>
            </w:r>
          </w:p>
          <w:p>
            <w:pPr>
              <w:pStyle w:val="LO-Normal"/>
              <w:widowControl w:val="false"/>
              <w:rPr/>
            </w:pPr>
            <w:r>
              <w:rPr>
                <w:rStyle w:val="Fuentedeprrafopredeter"/>
                <w:b/>
                <w:bCs/>
                <w:i/>
                <w:iCs/>
                <w:sz w:val="20"/>
                <w:szCs w:val="20"/>
              </w:rPr>
              <w:t xml:space="preserve">B - </w:t>
            </w:r>
            <w:r>
              <w:rPr>
                <w:rStyle w:val="Fuentedeprrafopredeter"/>
                <w:i/>
                <w:iCs/>
                <w:sz w:val="20"/>
                <w:szCs w:val="20"/>
              </w:rPr>
              <w:t>passenger vehicles weighing up to 3,500 kg and seating not more than eight passengers, in addition to the driver.</w:t>
            </w:r>
          </w:p>
          <w:p>
            <w:pPr>
              <w:pStyle w:val="LO-Normal"/>
              <w:widowControl w:val="false"/>
              <w:rPr/>
            </w:pPr>
            <w:r>
              <w:rPr>
                <w:rStyle w:val="Fuentedeprrafopredeter"/>
                <w:b/>
                <w:bCs/>
                <w:i/>
                <w:iCs/>
                <w:sz w:val="20"/>
                <w:szCs w:val="20"/>
              </w:rPr>
              <w:t xml:space="preserve">BE - </w:t>
            </w:r>
            <w:r>
              <w:rPr>
                <w:rStyle w:val="Fuentedeprrafopredeter"/>
                <w:i/>
                <w:iCs/>
                <w:sz w:val="20"/>
                <w:szCs w:val="20"/>
              </w:rPr>
              <w:t>vehicle of category B towing a heavy trailer of under 3,500 kg.</w:t>
            </w:r>
          </w:p>
          <w:p>
            <w:pPr>
              <w:pStyle w:val="LO-Normal"/>
              <w:widowControl w:val="false"/>
              <w:rPr/>
            </w:pPr>
            <w:r>
              <w:rPr>
                <w:rStyle w:val="Fuentedeprrafopredeter"/>
                <w:b/>
                <w:bCs/>
                <w:i/>
                <w:iCs/>
                <w:sz w:val="20"/>
                <w:szCs w:val="20"/>
              </w:rPr>
              <w:t xml:space="preserve">C1 - </w:t>
            </w:r>
            <w:r>
              <w:rPr>
                <w:rStyle w:val="Fuentedeprrafopredeter"/>
                <w:i/>
                <w:iCs/>
                <w:sz w:val="20"/>
                <w:szCs w:val="20"/>
              </w:rPr>
              <w:t>goods vehicles between 3,500 kg and 7,500 kg and for up to eight passengers-</w:t>
            </w:r>
          </w:p>
          <w:p>
            <w:pPr>
              <w:pStyle w:val="LO-Normal"/>
              <w:widowControl w:val="false"/>
              <w:rPr/>
            </w:pPr>
            <w:r>
              <w:rPr>
                <w:rStyle w:val="Fuentedeprrafopredeter"/>
                <w:b/>
                <w:bCs/>
                <w:i/>
                <w:iCs/>
                <w:sz w:val="20"/>
                <w:szCs w:val="20"/>
              </w:rPr>
              <w:t xml:space="preserve">C1E - </w:t>
            </w:r>
            <w:r>
              <w:rPr>
                <w:rStyle w:val="Fuentedeprrafopredeter"/>
                <w:i/>
                <w:iCs/>
                <w:sz w:val="20"/>
                <w:szCs w:val="20"/>
              </w:rPr>
              <w:t>vehicle of category C1 or B towing a heavy trailer; with a combined mass of up to 12,000 kg.</w:t>
            </w:r>
          </w:p>
          <w:p>
            <w:pPr>
              <w:pStyle w:val="LO-Normal"/>
              <w:widowControl w:val="false"/>
              <w:rPr/>
            </w:pPr>
            <w:r>
              <w:rPr>
                <w:rStyle w:val="Fuentedeprrafopredeter"/>
                <w:b/>
                <w:bCs/>
                <w:i/>
                <w:iCs/>
                <w:sz w:val="20"/>
                <w:szCs w:val="20"/>
              </w:rPr>
              <w:t>C -</w:t>
            </w:r>
            <w:r>
              <w:rPr>
                <w:rStyle w:val="Fuentedeprrafopredeter"/>
                <w:i/>
                <w:iCs/>
                <w:sz w:val="20"/>
                <w:szCs w:val="20"/>
              </w:rPr>
              <w:t xml:space="preserve"> goods vehicles weighing more than 3,500 kg and seating not more than eight passengers.</w:t>
            </w:r>
          </w:p>
          <w:p>
            <w:pPr>
              <w:pStyle w:val="LO-Normal"/>
              <w:widowControl w:val="false"/>
              <w:rPr/>
            </w:pPr>
            <w:r>
              <w:rPr>
                <w:rStyle w:val="Fuentedeprrafopredeter"/>
                <w:b/>
                <w:bCs/>
                <w:i/>
                <w:iCs/>
                <w:sz w:val="20"/>
                <w:szCs w:val="20"/>
              </w:rPr>
              <w:t xml:space="preserve">CE - </w:t>
            </w:r>
            <w:r>
              <w:rPr>
                <w:rStyle w:val="Fuentedeprrafopredeter"/>
                <w:i/>
                <w:iCs/>
                <w:sz w:val="20"/>
                <w:szCs w:val="20"/>
              </w:rPr>
              <w:t>vehicle of category C towing a heavy trailer.</w:t>
            </w:r>
          </w:p>
          <w:p>
            <w:pPr>
              <w:pStyle w:val="LO-Normal"/>
              <w:widowControl w:val="false"/>
              <w:rPr/>
            </w:pPr>
            <w:r>
              <w:rPr>
                <w:rStyle w:val="Fuentedeprrafopredeter"/>
                <w:b/>
                <w:bCs/>
                <w:i/>
                <w:iCs/>
                <w:sz w:val="20"/>
                <w:szCs w:val="20"/>
              </w:rPr>
              <w:t xml:space="preserve">D1 - </w:t>
            </w:r>
            <w:r>
              <w:rPr>
                <w:rStyle w:val="Fuentedeprrafopredeter"/>
                <w:i/>
                <w:iCs/>
                <w:sz w:val="20"/>
                <w:szCs w:val="20"/>
              </w:rPr>
              <w:t>passenger vehicles built for fewer than 16 passengers and that is no longer than 8 m.</w:t>
            </w:r>
          </w:p>
          <w:p>
            <w:pPr>
              <w:pStyle w:val="LO-Normal"/>
              <w:widowControl w:val="false"/>
              <w:rPr/>
            </w:pPr>
            <w:r>
              <w:rPr>
                <w:rStyle w:val="Fuentedeprrafopredeter"/>
                <w:b/>
                <w:bCs/>
                <w:i/>
                <w:iCs/>
                <w:sz w:val="20"/>
                <w:szCs w:val="20"/>
              </w:rPr>
              <w:t xml:space="preserve">D1E </w:t>
            </w:r>
            <w:r>
              <w:rPr>
                <w:rStyle w:val="Fuentedeprrafopredeter"/>
                <w:i/>
                <w:iCs/>
                <w:sz w:val="20"/>
                <w:szCs w:val="20"/>
              </w:rPr>
              <w:t>- vehicle of category D1 towing a heavy trailer.</w:t>
            </w:r>
          </w:p>
          <w:p>
            <w:pPr>
              <w:pStyle w:val="LO-Normal"/>
              <w:widowControl w:val="false"/>
              <w:rPr/>
            </w:pPr>
            <w:r>
              <w:rPr>
                <w:rStyle w:val="Fuentedeprrafopredeter"/>
                <w:b/>
                <w:bCs/>
                <w:i/>
                <w:iCs/>
                <w:sz w:val="20"/>
                <w:szCs w:val="20"/>
              </w:rPr>
              <w:t xml:space="preserve">D - </w:t>
            </w:r>
            <w:r>
              <w:rPr>
                <w:rStyle w:val="Fuentedeprrafopredeter"/>
                <w:i/>
                <w:iCs/>
                <w:sz w:val="20"/>
                <w:szCs w:val="20"/>
              </w:rPr>
              <w:t>passenger vehicles for more than eight passengers.</w:t>
            </w:r>
          </w:p>
          <w:p>
            <w:pPr>
              <w:pStyle w:val="LO-Normal"/>
              <w:widowControl w:val="false"/>
              <w:rPr/>
            </w:pPr>
            <w:r>
              <w:rPr>
                <w:rStyle w:val="Fuentedeprrafopredeter"/>
                <w:b/>
                <w:bCs/>
                <w:i/>
                <w:iCs/>
                <w:sz w:val="20"/>
                <w:szCs w:val="20"/>
              </w:rPr>
              <w:t xml:space="preserve">DE </w:t>
            </w:r>
            <w:r>
              <w:rPr>
                <w:rStyle w:val="Fuentedeprrafopredeter"/>
                <w:i/>
                <w:iCs/>
                <w:sz w:val="20"/>
                <w:szCs w:val="20"/>
              </w:rPr>
              <w:t>- vehicle of category D towing a heavy trailer.</w:t>
            </w:r>
          </w:p>
          <w:p>
            <w:pPr>
              <w:pStyle w:val="LO-Normal"/>
              <w:widowControl w:val="false"/>
              <w:spacing w:before="0" w:after="0"/>
              <w:jc w:val="both"/>
              <w:rPr/>
            </w:pPr>
            <w:r>
              <w:rPr>
                <w:rStyle w:val="Fuentedeprrafopredeter"/>
                <w:b/>
                <w:bCs/>
                <w:i/>
                <w:iCs/>
                <w:sz w:val="20"/>
                <w:szCs w:val="20"/>
              </w:rPr>
              <w:t>Sources:</w:t>
            </w:r>
            <w:r>
              <w:rPr>
                <w:rStyle w:val="Fuentedeprrafopredeter"/>
                <w:i/>
                <w:iCs/>
                <w:sz w:val="20"/>
                <w:szCs w:val="20"/>
              </w:rPr>
              <w:t xml:space="preserve"> </w:t>
            </w:r>
          </w:p>
          <w:p>
            <w:pPr>
              <w:pStyle w:val="BodyText"/>
              <w:spacing w:before="0" w:after="0"/>
              <w:rPr/>
            </w:pPr>
            <w:hyperlink r:id="rId8">
              <w:r>
                <w:rPr>
                  <w:rStyle w:val="Hyperlink"/>
                  <w:i/>
                  <w:iCs/>
                  <w:sz w:val="20"/>
                  <w:szCs w:val="20"/>
                </w:rPr>
                <w:t>https://www.gov.il</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 xml:space="preserve">Personal number: </w:t>
            </w:r>
            <w:r>
              <w:rPr>
                <w:rStyle w:val="Strong"/>
                <w:b w:val="false"/>
                <w:i/>
                <w:iCs/>
                <w:caps w:val="false"/>
                <w:smallCaps w:val="false"/>
                <w:color w:val="0F0F10"/>
                <w:spacing w:val="0"/>
                <w:sz w:val="20"/>
                <w:szCs w:val="20"/>
              </w:rPr>
              <w:t>{{personal}}</w:t>
            </w:r>
          </w:p>
          <w:p>
            <w:pPr>
              <w:pStyle w:val="Contenidodelatabla"/>
              <w:widowControl w:val="false"/>
              <w:rPr>
                <w:i/>
                <w:iCs/>
                <w:sz w:val="20"/>
                <w:szCs w:val="20"/>
              </w:rPr>
            </w:pPr>
            <w:r>
              <w:rPr>
                <w:rStyle w:val="Strong"/>
                <w:b w:val="false"/>
                <w:i/>
                <w:iCs/>
                <w:caps w:val="false"/>
                <w:smallCaps w:val="false"/>
                <w:color w:val="0F0F10"/>
                <w:spacing w:val="0"/>
                <w:sz w:val="20"/>
                <w:szCs w:val="20"/>
              </w:rPr>
              <w:t>Code: {{code}}</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w:r>
    </w:p>
    <w:p>
      <w:pPr>
        <w:pStyle w:val="Normal"/>
        <w:rPr>
          <w:sz w:val="16"/>
          <w:szCs w:val="16"/>
        </w:rPr>
      </w:pPr>
      <w:r>
        <mc:AlternateContent>
          <mc:Choice Requires="wpg">
            <w:drawing>
              <wp:anchor distT="0" distB="0" distL="0" distR="0" simplePos="0" relativeHeight="3" behindDoc="1" locked="0" layoutInCell="1" allowOverlap="1">
                <wp:simplePos x="0" y="0"/>
                <wp:positionH relativeFrom="column">
                  <wp:posOffset>3302000</wp:posOffset>
                </wp:positionH>
                <wp:positionV relativeFrom="paragraph">
                  <wp:posOffset>53340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4160"/>
                            <a:ext cx="592560" cy="28116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260pt;margin-top:4.2pt;width:89.35pt;height:98.85pt" coordorigin="5200,84" coordsize="1787,1977">
                <v:shape id="shape_0" stroked="f" o:allowincell="f" style="position:absolute;left:6054;top:1618;width:932;height:442;mso-wrap-style:none;v-text-anchor:middle" type="_x0000_t75">
                  <v:imagedata r:id="rId11" o:detectmouseclick="t"/>
                  <v:stroke color="#3465a4" weight="12600" joinstyle="round" endcap="flat"/>
                  <w10:wrap type="none"/>
                </v:shape>
                <v:shape id="shape_0" stroked="f" o:allowincell="f" style="position:absolute;left:5200;top:84;width:1737;height:1736;mso-wrap-style:none;v-text-anchor:middle" type="_x0000_t75">
                  <v:imagedata r:id="rId12" o:detectmouseclick="t"/>
                  <v:stroke color="#3465a4" weight="12600" joinstyle="round" endcap="flat"/>
                  <w10:wrap type="none"/>
                </v:shape>
              </v:group>
            </w:pict>
          </mc:Fallback>
        </mc:AlternateContent>
      </w: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www.gov.il/en/service/apply_for_new_driver_drivers_license?utm_source=chatgpt.com"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4337</TotalTime>
  <Application>LibreOffice/26.2.5.2$Windows_X86_64 LibreOffice_project/cd7284b4cbbfeb507e630c1aac019f4157393acb</Application>
  <AppVersion>15.0000</AppVersion>
  <Pages>2</Pages>
  <Words>448</Words>
  <Characters>2455</Characters>
  <CharactersWithSpaces>2855</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2026-08-31T13:54:41Z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file>