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스마트폰 행동 인식</w:t>
        <w:br/>
        <w:t>구현 과정 심화 보고서</w:t>
      </w:r>
    </w:p>
    <w:p>
      <w:r>
        <w:t>이봉헌  |  담당 ② 기준모델 구현·공통 학습·조건 비교 및 팀장</w:t>
      </w:r>
    </w:p>
    <w:p>
      <w:r>
        <w:t>보강 검증 및 작성일 2026년 9월 29일  |  이전 단일 seed 보고서의 후속 검증</w:t>
      </w:r>
    </w:p>
    <w:p>
      <w:pPr>
        <w:pStyle w:val="Heading2"/>
      </w:pPr>
      <w:r>
        <w:t>핵심 결론</w:t>
      </w:r>
    </w:p>
    <w:p>
      <w:r>
        <w:t>MLP의 성능표를 제시하는 데서 나아가 입력 계약의 취약점을 재현하고 수정하였다. 같은 seed가 동일 초기 가중치를 보장하지 않는다는 점도 실측하여, 가중치를 맞춘 Dropout 대조 실험을 추가하였다. 과정은 실제 결함, 의도적 오류 주입, 관찰 결과와 남은 한계를 구분해 기록하였다.</w:t>
      </w:r>
    </w:p>
    <w:tbl>
      <w:tblPr>
        <w:tblW w:type="auto" w:w="0"/>
        <w:jc w:val="center"/>
        <w:tblLayout w:type="fixed"/>
        <w:tblLook w:firstColumn="1" w:firstRow="1" w:lastColumn="0" w:lastRow="0" w:noHBand="0" w:noVBand="1" w:val="04A0"/>
      </w:tblPr>
      <w:tblGrid>
        <w:gridCol w:w="2088"/>
        <w:gridCol w:w="8078"/>
      </w:tblGrid>
      <w:tr>
        <w:trPr>
          <w:cantSplit/>
          <w:tblHeader/>
        </w:trPr>
        <w:tc>
          <w:tcPr>
            <w:tcW w:type="dxa" w:w="208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검증 축</w:t>
            </w:r>
          </w:p>
        </w:tc>
        <w:tc>
          <w:tcPr>
            <w:tcW w:type="dxa" w:w="807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보강 내용</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실제 코드 결함</w:t>
            </w:r>
          </w:p>
        </w:tc>
        <w:tc>
          <w:tcPr>
            <w:tcW w:type="dxa" w:w="807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잘못된 분할 인덱스 및 원본·전처리 입력 불일치 차단</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회귀 검사</w:t>
            </w:r>
          </w:p>
        </w:tc>
        <w:tc>
          <w:tcPr>
            <w:tcW w:type="dxa" w:w="807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신규 16개 검사: 수정 전 15실패 → 수정 후 통과; 기존 포함 24통과</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수학 검증</w:t>
            </w:r>
          </w:p>
        </w:tc>
        <w:tc>
          <w:tcPr>
            <w:tcW w:type="dxa" w:w="807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ReLU 46파라미터 × h 3종 = 138회 수치 비교</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반복 학습</w:t>
            </w:r>
          </w:p>
        </w:tc>
        <w:tc>
          <w:tcPr>
            <w:tcW w:type="dxa" w:w="807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기존 7조건 × 3seed = 21회 및 초기값 일치 대조 3회</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재현 근거</w:t>
            </w:r>
          </w:p>
        </w:tc>
        <w:tc>
          <w:tcPr>
            <w:tcW w:type="dxa" w:w="807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기존 seed 2026 예측 대조 및 새 저장 모델 재로딩</w:t>
            </w:r>
          </w:p>
        </w:tc>
      </w:tr>
    </w:tbl>
    <w:p>
      <w:pPr>
        <w:spacing w:after="0"/>
      </w:pPr>
    </w:p>
    <w:p>
      <w:r>
        <w:t>기존 7조건 중 검증 Macro F1 평균이 가장 높은 조건은 E02의 0.9046이었다. E02의 seed별 F1은 0.9138, 0.8906, 0.9094였다. 순위와 차이는 아래 본문에서 seed별로 함께 해석한다.</w:t>
      </w:r>
    </w:p>
    <w:p>
      <w:r>
        <w:t>평균과 표준편차는 같은 검증 사람 5명에 대한 학습 변동을 나타낸다. 공식 test는 읽거나 평가하지 않았다. 오류가 전혀 없거나 다른 사람에게도 같은 성능이 나온다는 주장은 하지 않는다.</w:t>
      </w:r>
    </w:p>
    <w:p>
      <w:r>
        <w:rPr>
          <w:color w:val="555555"/>
          <w:sz w:val="18"/>
        </w:rPr>
        <w:t>주요 근거: reports/process_audit/summary.json, contracts_before.json, contracts_after.json, tests_after.xml. 실제 후속 실행은 모두 2026년 9월 29일 한국 시간에 수행했다.</w:t>
      </w:r>
    </w:p>
    <w:p>
      <w:pPr>
        <w:pStyle w:val="Heading1"/>
        <w:pageBreakBefore/>
      </w:pPr>
      <w:r>
        <w:t>1 주장의 범위와 실제 작업 순서</w:t>
      </w:r>
    </w:p>
    <w:p>
      <w:r>
        <w:t>과정 평가에서 중요한 것은 “문제가 있었다”는 문장 자체가 아니라 문제가 발생하는 입력, 원인, 수정 위치, 수정 후 확인 기준이다. 이번 보강은 기존 정상 UCI 학습과 외부 모듈 연결 시의 잘못된 입력을 분리해 점검하였다.</w:t>
      </w:r>
    </w:p>
    <w:tbl>
      <w:tblPr>
        <w:tblW w:type="auto" w:w="0"/>
        <w:jc w:val="center"/>
        <w:tblLayout w:type="fixed"/>
        <w:tblLook w:firstColumn="1" w:firstRow="1" w:lastColumn="0" w:lastRow="0" w:noHBand="0" w:noVBand="1" w:val="04A0"/>
      </w:tblPr>
      <w:tblGrid>
        <w:gridCol w:w="792"/>
        <w:gridCol w:w="5256"/>
        <w:gridCol w:w="4118"/>
      </w:tblGrid>
      <w:tr>
        <w:trPr>
          <w:cantSplit/>
          <w:tblHeader/>
        </w:trPr>
        <w:tc>
          <w:tcPr>
            <w:tcW w:type="dxa" w:w="79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순서</w:t>
            </w:r>
          </w:p>
        </w:tc>
        <w:tc>
          <w:tcPr>
            <w:tcW w:type="dxa" w:w="525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수행과 판단</w:t>
            </w:r>
          </w:p>
        </w:tc>
        <w:tc>
          <w:tcPr>
            <w:tcW w:type="dxa" w:w="411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확인 근거</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w:t>
            </w:r>
          </w:p>
        </w:tc>
        <w:tc>
          <w:tcPr>
            <w:tcW w:type="dxa" w:w="525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기존 결과와 입력 계약 검토</w:t>
            </w:r>
          </w:p>
        </w:tc>
        <w:tc>
          <w:tcPr>
            <w:tcW w:type="dxa" w:w="411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기준 커밋 7aec3ac</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w:t>
            </w:r>
          </w:p>
        </w:tc>
        <w:tc>
          <w:tcPr>
            <w:tcW w:type="dxa" w:w="525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잘못된 입력을 수정 전 코드에 투입</w:t>
            </w:r>
          </w:p>
        </w:tc>
        <w:tc>
          <w:tcPr>
            <w:tcW w:type="dxa" w:w="411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contracts_before.json</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w:t>
            </w:r>
          </w:p>
        </w:tc>
        <w:tc>
          <w:tcPr>
            <w:tcW w:type="dxa" w:w="525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실패를 고정하는 회귀 검사 작성·실행</w:t>
            </w:r>
          </w:p>
        </w:tc>
        <w:tc>
          <w:tcPr>
            <w:tcW w:type="dxa" w:w="411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regressions_before.xml</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w:t>
            </w:r>
          </w:p>
        </w:tc>
        <w:tc>
          <w:tcPr>
            <w:tcW w:type="dxa" w:w="525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검사 시점과 내용 수정, 기존 검사도 실행</w:t>
            </w:r>
          </w:p>
        </w:tc>
        <w:tc>
          <w:tcPr>
            <w:tcW w:type="dxa" w:w="411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수정 커밋 47bc6f3</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w:t>
            </w:r>
          </w:p>
        </w:tc>
        <w:tc>
          <w:tcPr>
            <w:tcW w:type="dxa" w:w="525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같은 seed의 Dense 초기값 직접 비교</w:t>
            </w:r>
          </w:p>
        </w:tc>
        <w:tc>
          <w:tcPr>
            <w:tcW w:type="dxa" w:w="411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initialization_control.json</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6</w:t>
            </w:r>
          </w:p>
        </w:tc>
        <w:tc>
          <w:tcPr>
            <w:tcW w:type="dxa" w:w="525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대조 실험 계획을 결과 확인 전에 추가</w:t>
            </w:r>
          </w:p>
        </w:tc>
        <w:tc>
          <w:tcPr>
            <w:tcW w:type="dxa" w:w="411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계획 커밋 aaa5d3f</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7</w:t>
            </w:r>
          </w:p>
        </w:tc>
        <w:tc>
          <w:tcPr>
            <w:tcW w:type="dxa" w:w="525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21회 반복 + 3회 대조, 예측과 저장물 검증</w:t>
            </w:r>
          </w:p>
        </w:tc>
        <w:tc>
          <w:tcPr>
            <w:tcW w:type="dxa" w:w="411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repeat_results.csv 및 재로딩 기록</w:t>
            </w:r>
          </w:p>
        </w:tc>
      </w:tr>
    </w:tbl>
    <w:p>
      <w:pPr>
        <w:spacing w:after="0"/>
      </w:pPr>
    </w:p>
    <w:p>
      <w:pPr>
        <w:pStyle w:val="Heading2"/>
      </w:pPr>
      <w:r>
        <w:t>세 종류의 증거를 구분</w:t>
      </w:r>
    </w:p>
    <w:p>
      <w:r>
        <w:t>첫째, 잘못된 인덱스의 묵시적 변환과 원본 검증 입력 불일치는 실제 기존 코드에서 재현한 결함이다. 둘째, 배치 평균 나누기 누락이나 큰 logits의 naive softmax는 검사 능력을 보여 주기 위해 의도적으로 만든 대조이다. 셋째, seed별 성능 차이는 학습 변동의 관찰이며 소프트웨어 버그라고 부르지 않는다.</w:t>
      </w:r>
    </w:p>
    <w:p>
      <w:r>
        <w:t>최초 7개 실험 전에 모든 후속 가설을 세웠다고 소급해 설명하지 않는다. 반복 실험 계획은 PROCESS_AUDIT_PLAN_KO.md에, 초기값 대조 추가 사유는 PROCESS_AUDIT_AMENDMENT_KO.md에 남겼다.</w:t>
      </w:r>
    </w:p>
    <w:p>
      <w:r>
        <w:rPr>
          <w:color w:val="555555"/>
          <w:sz w:val="18"/>
        </w:rPr>
        <w:t>Git 커밋은 파일 상태를 식별하고 실행 시각은 JSON에 기록한다. 수정 전후 계약 파일 SHA-256도 별도 남겨 커밋 전 수정 상태와 혼동하지 않게 하였다.</w:t>
      </w:r>
    </w:p>
    <w:p>
      <w:pPr>
        <w:pStyle w:val="Heading1"/>
        <w:pageBreakBefore/>
      </w:pPr>
      <w:r>
        <w:t>2 실제 결함 하나 잘못된 분할 번호의 통과</w:t>
      </w:r>
    </w:p>
    <w:p>
      <w:r>
        <w:t>외부 전처리 모듈이 제공하는 split_indices를 기존 prepare_data는 곧바로 np.asarray(..., dtype=np.int64)로 바꿨다. 이 동작은 값이 올바른 인덱스인지 확인하지 않고 소수를 잘라내거나 참거짓 값을 1과 0으로 해석한다. NumPy의 음수 인덱스도 배열 뒤쪽 행을 가리킨다.</w:t>
      </w:r>
    </w:p>
    <w:tbl>
      <w:tblPr>
        <w:tblW w:type="auto" w:w="0"/>
        <w:jc w:val="center"/>
        <w:tblLayout w:type="fixed"/>
        <w:tblLook w:firstColumn="1" w:firstRow="1" w:lastColumn="0" w:lastRow="0" w:noHBand="0" w:noVBand="1" w:val="04A0"/>
      </w:tblPr>
      <w:tblGrid>
        <w:gridCol w:w="2232"/>
        <w:gridCol w:w="4392"/>
        <w:gridCol w:w="3542"/>
      </w:tblGrid>
      <w:tr>
        <w:trPr>
          <w:cantSplit/>
          <w:tblHeader/>
        </w:trPr>
        <w:tc>
          <w:tcPr>
            <w:tcW w:type="dxa" w:w="223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입력 예</w:t>
            </w:r>
          </w:p>
        </w:tc>
        <w:tc>
          <w:tcPr>
            <w:tcW w:type="dxa" w:w="439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수정 전 실제 동작</w:t>
            </w:r>
          </w:p>
        </w:tc>
        <w:tc>
          <w:tcPr>
            <w:tcW w:type="dxa" w:w="354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수정 후</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 1.8, …, 5.8</w:t>
            </w:r>
          </w:p>
        </w:tc>
        <w:tc>
          <w:tcPr>
            <w:tcW w:type="dxa" w:w="439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행 0, 1, …, 5 선택</w:t>
            </w:r>
          </w:p>
        </w:tc>
        <w:tc>
          <w:tcPr>
            <w:tcW w:type="dxa" w:w="354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정수 벡터 오류</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−6, −5, …, −1</w:t>
            </w:r>
          </w:p>
        </w:tc>
        <w:tc>
          <w:tcPr>
            <w:tcW w:type="dxa" w:w="439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18행 fixture의 행 12–17 선택</w:t>
            </w:r>
          </w:p>
        </w:tc>
        <w:tc>
          <w:tcPr>
            <w:tcW w:type="dxa" w:w="354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범위 오류</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True, False</w:t>
            </w:r>
          </w:p>
        </w:tc>
        <w:tc>
          <w:tcPr>
            <w:tcW w:type="dxa" w:w="439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행 1, 0 선택</w:t>
            </w:r>
          </w:p>
        </w:tc>
        <w:tc>
          <w:tcPr>
            <w:tcW w:type="dxa" w:w="354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정수 벡터 오류</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18</w:t>
            </w:r>
          </w:p>
        </w:tc>
        <w:tc>
          <w:tcPr>
            <w:tcW w:type="dxa" w:w="439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배열 인덱싱 중 IndexError</w:t>
            </w:r>
          </w:p>
        </w:tc>
        <w:tc>
          <w:tcPr>
            <w:tcW w:type="dxa" w:w="354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학습 준비 전 ValueError</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중복 행 또는 빈 배열</w:t>
            </w:r>
          </w:p>
        </w:tc>
        <w:tc>
          <w:tcPr>
            <w:tcW w:type="dxa" w:w="439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전처리 이후 또는 전처리 내부에서 실패</w:t>
            </w:r>
          </w:p>
        </w:tc>
        <w:tc>
          <w:tcPr>
            <w:tcW w:type="dxa" w:w="354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전처리 fit 전에 거부</w:t>
            </w:r>
          </w:p>
        </w:tc>
      </w:tr>
    </w:tbl>
    <w:p>
      <w:pPr>
        <w:spacing w:after="0"/>
      </w:pPr>
    </w:p>
    <w:p>
      <w:pPr>
        <w:pStyle w:val="Heading2"/>
      </w:pPr>
      <w:r>
        <w:t>원인과 수정</w:t>
      </w:r>
    </w:p>
    <w:p>
      <w:r>
        <w:t>문제는 정수형 배열을 만들었다는 사실을 입력 검증으로 취급한 데 있었다. _row_indices에서 먼저 1차원·비어 있지 않음·정수형·0 이상·전체 행 수 미만·중복 없음 조건을 검사하고, 모두 통과한 뒤 int64로 바꿨다. unsigned 정수의 큰 값도 범위 검사 후 변환하여 overflow를 피한다.</w:t>
      </w:r>
    </w:p>
    <w:p>
      <w:pPr>
        <w:pStyle w:val="Heading2"/>
      </w:pPr>
      <w:r>
        <w:t>기존 결과에 대한 영향 판단</w:t>
      </w:r>
    </w:p>
    <w:p>
      <w:r>
        <w:t>공식 UCI 로더가 생성한 원래 분할은 이미 정상적인 정수 인덱스였다. 따라서 이 결함을 발견했다는 이유만으로 이전 HAR 점수가 잘못되었다고 결론 내리지 않았다. 수정한 코드로 seed 2026의 7조건을 다시 학습해 이전 예측과 직접 대조하였다.</w:t>
      </w:r>
    </w:p>
    <w:p>
      <w:r>
        <w:rPr>
          <w:color w:val="555555"/>
          <w:sz w:val="18"/>
        </w:rPr>
        <w:t>최소 재현: analysis/process_audit/contract_probe.py. 합성 18행 자료를 사용한 경계 검사이며 해당 fixture의 결과를 HAR 정확도로 표시하지 않는다.</w:t>
      </w:r>
    </w:p>
    <w:p>
      <w:pPr>
        <w:pStyle w:val="Heading1"/>
        <w:pageBreakBefore/>
      </w:pPr>
      <w:r>
        <w:t>3 실제 결함 둘 원본과 모델 입력의 정렬</w:t>
      </w:r>
    </w:p>
    <w:p>
      <w:r>
        <w:t>TrainingData는 학습에 사용하는 x_validation과 저장물 재현에 사용하는 raw_validation을 함께 가진다. 기존 검사는 두 자료의 행 수만 비교했다. 행 수를 유지한 채 원본 행 순서를 뒤집으면 이 검사를 통과했다.</w:t>
      </w:r>
    </w:p>
    <w:tbl>
      <w:tblPr>
        <w:tblW w:type="auto" w:w="0"/>
        <w:jc w:val="center"/>
        <w:tblLayout w:type="fixed"/>
        <w:tblLook w:firstColumn="1" w:firstRow="1" w:lastColumn="0" w:lastRow="0" w:noHBand="0" w:noVBand="1" w:val="04A0"/>
      </w:tblPr>
      <w:tblGrid>
        <w:gridCol w:w="2160"/>
        <w:gridCol w:w="8006"/>
      </w:tblGrid>
      <w:tr>
        <w:trPr>
          <w:cantSplit/>
          <w:tblHeader/>
        </w:trPr>
        <w:tc>
          <w:tcPr>
            <w:tcW w:type="dxa" w:w="216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단계</w:t>
            </w:r>
          </w:p>
        </w:tc>
        <w:tc>
          <w:tcPr>
            <w:tcW w:type="dxa" w:w="800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관찰</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정상 입력</w:t>
            </w:r>
          </w:p>
        </w:tc>
        <w:tc>
          <w:tcPr>
            <w:tcW w:type="dxa" w:w="800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저장 전처리로 원본을 변환하면 모델 입력과 차이 0</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원본 행 역순 변경</w:t>
            </w:r>
          </w:p>
        </w:tc>
        <w:tc>
          <w:tcPr>
            <w:tcW w:type="dxa" w:w="800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검사 통과, 변환 결과와 입력의 최대 절대 차이 11.6729</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수정</w:t>
            </w:r>
          </w:p>
        </w:tc>
        <w:tc>
          <w:tcPr>
            <w:tcW w:type="dxa" w:w="800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저장 전처리 상태로 raw_validation을 재변환해 전체 shape·유한값·값 비교</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수정 후</w:t>
            </w:r>
          </w:p>
        </w:tc>
        <w:tc>
          <w:tcPr>
            <w:tcW w:type="dxa" w:w="800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동일 역순 입력은 명확한 ValueError로 거부</w:t>
            </w:r>
          </w:p>
        </w:tc>
      </w:tr>
    </w:tbl>
    <w:p>
      <w:pPr>
        <w:spacing w:after="0"/>
      </w:pPr>
    </w:p>
    <w:p>
      <w:r>
        <w:t>비교 허용오차는 rtol=10⁻⁵, atol=10⁻⁶이다. 참조 어댑터에서는 동일 연산의 출력이므로 차이가 0이지만, 외부 모듈 연결 시 작은 부동소수점 차이를 허용하도록 했다. 반면 큰 값 차이와 행 순서 변경을 허용오차로 덮지 않는다.</w:t>
      </w:r>
    </w:p>
    <w:p>
      <w:pPr>
        <w:pStyle w:val="Heading2"/>
      </w:pPr>
      <w:r>
        <w:t>사람 ID와 검사 시점</w:t>
      </w:r>
    </w:p>
    <w:p>
      <w:r>
        <w:t>사람 ID는 양의 정수 1차원 벡터인지 추가 확인한다. 학습과 검증 사람의 교집합 검사는 전처리 fit 이전으로 이동하였다. 학습이 끝난 뒤 실패를 알아내는 것보다, 잘못된 자료가 통계를 만드는 단계에 들어가기 전에 차단하는 편이 원인 진단에 유리하다.</w:t>
      </w:r>
    </w:p>
    <w:p>
      <w:pPr>
        <w:pStyle w:val="Heading2"/>
      </w:pPr>
      <w:r>
        <w:t>보장하지 못하는 것</w:t>
      </w:r>
    </w:p>
    <w:p>
      <w:r>
        <w:t>이 검사는 전달된 원본과 전처리 결과의 자기 일관성을 확인한다. 원본과 ID가 함께 잘못 바뀌었거나 채널 이름만 틀리게 붙은 경우의 진실성까지 증명하지 않는다. 원본 UCI 행과 채널 순서는 별도 로더·재로딩 검증에서 대조한다.</w:t>
      </w:r>
    </w:p>
    <w:p>
      <w:r>
        <w:rPr>
          <w:color w:val="555555"/>
          <w:sz w:val="18"/>
        </w:rPr>
        <w:t>수정 위치: src/contracts.py의 TrainingData.validate 및 prepare_data. 잘못된 전처리 평균을 주입한 경우도 회귀 검사에서 거부됨을 확인하였다.</w:t>
      </w:r>
    </w:p>
    <w:p>
      <w:pPr>
        <w:pStyle w:val="Heading1"/>
        <w:pageBreakBefore/>
      </w:pPr>
      <w:r>
        <w:t>4 회귀 검사를 설계한 이유와 결과</w:t>
      </w:r>
    </w:p>
    <w:p>
      <w:r>
        <w:t>회귀 검사는 수정 내용을 그대로 다시 써서 통과시키는 코드가 아니라, 수정 전 결함이 드러나는 외부 입력을 고정하는 방식으로 작성하였다. 특히 잘못된 분할에서 Preprocessor.fit이 호출되면 실패하게 하는 감시 함수를 사용해 오류 차단 시점도 검사했다.</w:t>
      </w:r>
    </w:p>
    <w:tbl>
      <w:tblPr>
        <w:tblW w:type="auto" w:w="0"/>
        <w:jc w:val="center"/>
        <w:tblLayout w:type="fixed"/>
        <w:tblLook w:firstColumn="1" w:firstRow="1" w:lastColumn="0" w:lastRow="0" w:noHBand="0" w:noVBand="1" w:val="04A0"/>
      </w:tblPr>
      <w:tblGrid>
        <w:gridCol w:w="2376"/>
        <w:gridCol w:w="1152"/>
        <w:gridCol w:w="6638"/>
      </w:tblGrid>
      <w:tr>
        <w:trPr>
          <w:cantSplit/>
          <w:tblHeader/>
        </w:trPr>
        <w:tc>
          <w:tcPr>
            <w:tcW w:type="dxa" w:w="237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검사 묶음</w:t>
            </w:r>
          </w:p>
        </w:tc>
        <w:tc>
          <w:tcPr>
            <w:tcW w:type="dxa" w:w="115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사례 수</w:t>
            </w:r>
          </w:p>
        </w:tc>
        <w:tc>
          <w:tcPr>
            <w:tcW w:type="dxa" w:w="663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요구 동작</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분할 인덱스</w:t>
            </w:r>
          </w:p>
        </w:tc>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9</w:t>
            </w:r>
          </w:p>
        </w:tc>
        <w:tc>
          <w:tcPr>
            <w:tcW w:type="dxa" w:w="663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소수·음수·bool·중복·범위·빈 배열·차원·큰 unsigned 거부</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검증 원본 연결</w:t>
            </w:r>
          </w:p>
        </w:tc>
        <w:tc>
          <w:tcPr>
            <w:tcW w:type="dxa" w:w="115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w:t>
            </w:r>
          </w:p>
        </w:tc>
        <w:tc>
          <w:tcPr>
            <w:tcW w:type="dxa" w:w="663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역순 원본 및 잘못된 전처리 상태 거부</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사람 ID 형태</w:t>
            </w:r>
          </w:p>
        </w:tc>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w:t>
            </w:r>
          </w:p>
        </w:tc>
        <w:tc>
          <w:tcPr>
            <w:tcW w:type="dxa" w:w="663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소수·음수·2차원 ID 거부</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검증 분포 변형</w:t>
            </w:r>
          </w:p>
        </w:tc>
        <w:tc>
          <w:tcPr>
            <w:tcW w:type="dxa" w:w="115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w:t>
            </w:r>
          </w:p>
        </w:tc>
        <w:tc>
          <w:tcPr>
            <w:tcW w:type="dxa" w:w="663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검증 값에 10,000을 더해도 학습 통계·학습 입력 동일</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사람 중복 검사 시점</w:t>
            </w:r>
          </w:p>
        </w:tc>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w:t>
            </w:r>
          </w:p>
        </w:tc>
        <w:tc>
          <w:tcPr>
            <w:tcW w:type="dxa" w:w="663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전처리 fit 전에 중복 사람 거부</w:t>
            </w:r>
          </w:p>
        </w:tc>
      </w:tr>
    </w:tbl>
    <w:p>
      <w:pPr>
        <w:spacing w:after="0"/>
      </w:pPr>
    </w:p>
    <w:tbl>
      <w:tblPr>
        <w:tblW w:type="auto" w:w="0"/>
        <w:jc w:val="center"/>
        <w:tblLayout w:type="fixed"/>
        <w:tblLook w:firstColumn="1" w:firstRow="1" w:lastColumn="0" w:lastRow="0" w:noHBand="0" w:noVBand="1" w:val="04A0"/>
      </w:tblPr>
      <w:tblGrid>
        <w:gridCol w:w="2736"/>
        <w:gridCol w:w="2088"/>
        <w:gridCol w:w="5342"/>
      </w:tblGrid>
      <w:tr>
        <w:trPr>
          <w:cantSplit/>
          <w:tblHeader/>
        </w:trPr>
        <w:tc>
          <w:tcPr>
            <w:tcW w:type="dxa" w:w="273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실행</w:t>
            </w:r>
          </w:p>
        </w:tc>
        <w:tc>
          <w:tcPr>
            <w:tcW w:type="dxa" w:w="208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결과</w:t>
            </w:r>
          </w:p>
        </w:tc>
        <w:tc>
          <w:tcPr>
            <w:tcW w:type="dxa" w:w="534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해석</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수정 전 신규 검사</w:t>
            </w:r>
          </w:p>
        </w:tc>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15실패 / 1통과</w:t>
            </w:r>
          </w:p>
        </w:tc>
        <w:tc>
          <w:tcPr>
            <w:tcW w:type="dxa" w:w="534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새로 정한 계약과 맞지 않는 경로 재현</w:t>
            </w:r>
          </w:p>
        </w:tc>
      </w:tr>
      <w:tr>
        <w:trPr>
          <w:cantSplit/>
        </w:trPr>
        <w:tc>
          <w:tcPr>
            <w:tcW w:type="dxa" w:w="273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수정 후 전체 검사</w:t>
            </w:r>
          </w:p>
        </w:tc>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24통과</w:t>
            </w:r>
          </w:p>
        </w:tc>
        <w:tc>
          <w:tcPr>
            <w:tcW w:type="dxa" w:w="534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신규 16개 + 기존 8개 모두 통과</w:t>
            </w:r>
          </w:p>
        </w:tc>
      </w:tr>
    </w:tbl>
    <w:p>
      <w:pPr>
        <w:spacing w:after="0"/>
      </w:pPr>
    </w:p>
    <w:p>
      <w:r>
        <w:t>15개 실패를 독립된 버그 15개라고 세지 않는다. 같은 원인을 여러 경계 입력과 검사 시점에서 확인한 것이다. 기존 학습·모델 저장·외부 모델 연결 검사를 함께 실행하여 새 방어 장치가 정상 경로를 깨뜨리지 않는지도 확인하였다.</w:t>
      </w:r>
    </w:p>
    <w:p>
      <w:r>
        <w:rPr>
          <w:color w:val="555555"/>
          <w:sz w:val="18"/>
        </w:rPr>
        <w:t>pytest 실행에는 라이브러리 deprecation 경고 26개가 있었으나 실패는 없었다. 경고가 존재한다는 사실을 숨기거나 모든 의존성 문제까지 해결했다고 표시하지 않는다.</w:t>
      </w:r>
    </w:p>
    <w:p>
      <w:pPr>
        <w:pStyle w:val="Heading1"/>
        <w:pageBreakBefore/>
      </w:pPr>
      <w:r>
        <w:t>5 같은 seed가 같은 초기값을 뜻하는가</w:t>
      </w:r>
    </w:p>
    <w:p>
      <w:r>
        <w:t>처음 반복 실험은 모든 조건에 seed 2026·2027·2028을 적용하는 방식으로 통제했다. 이후 Dropout 구조를 실제로 생성해 Dense 가중치를 비교하자 첫 층은 같았지만 둘째 층과 출력층은 달랐다. 모델 생성 과정에서 사용하는 난수의 순서가 구조 변경에 영향을 받을 수 있다는 점을 실측으로 확인한 것이다.</w:t>
      </w:r>
    </w:p>
    <w:tbl>
      <w:tblPr>
        <w:tblW w:type="auto" w:w="0"/>
        <w:jc w:val="center"/>
        <w:tblLayout w:type="fixed"/>
        <w:tblLook w:firstColumn="1" w:firstRow="1" w:lastColumn="0" w:lastRow="0" w:noHBand="0" w:noVBand="1" w:val="04A0"/>
      </w:tblPr>
      <w:tblGrid>
        <w:gridCol w:w="1440"/>
        <w:gridCol w:w="2304"/>
        <w:gridCol w:w="3211"/>
        <w:gridCol w:w="3211"/>
      </w:tblGrid>
      <w:tr>
        <w:trPr>
          <w:cantSplit/>
          <w:tblHeader/>
        </w:trPr>
        <w:tc>
          <w:tcPr>
            <w:tcW w:type="dxa" w:w="144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seed</w:t>
            </w:r>
          </w:p>
        </w:tc>
        <w:tc>
          <w:tcPr>
            <w:tcW w:type="dxa" w:w="230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hidden 1 차이</w:t>
            </w:r>
          </w:p>
        </w:tc>
        <w:tc>
          <w:tcPr>
            <w:tcW w:type="dxa" w:w="3211"/>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hidden 2 최대 차이</w:t>
            </w:r>
          </w:p>
        </w:tc>
        <w:tc>
          <w:tcPr>
            <w:tcW w:type="dxa" w:w="3211"/>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출력층 최대 차이</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2026</w:t>
            </w:r>
          </w:p>
        </w:tc>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3211"/>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0.348673</w:t>
            </w:r>
          </w:p>
        </w:tc>
        <w:tc>
          <w:tcPr>
            <w:tcW w:type="dxa" w:w="3211"/>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0.551879</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2027</w:t>
            </w:r>
          </w:p>
        </w:tc>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3211"/>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0.349673</w:t>
            </w:r>
          </w:p>
        </w:tc>
        <w:tc>
          <w:tcPr>
            <w:tcW w:type="dxa" w:w="3211"/>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0.558990</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2028</w:t>
            </w:r>
          </w:p>
        </w:tc>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3211"/>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0.351655</w:t>
            </w:r>
          </w:p>
        </w:tc>
        <w:tc>
          <w:tcPr>
            <w:tcW w:type="dxa" w:w="3211"/>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0.568069</w:t>
            </w:r>
          </w:p>
        </w:tc>
      </w:tr>
    </w:tbl>
    <w:p>
      <w:pPr>
        <w:spacing w:after="0"/>
      </w:pPr>
    </w:p>
    <w:p>
      <w:pPr>
        <w:pStyle w:val="Heading2"/>
      </w:pPr>
      <w:r>
        <w:t>이 발견이 바꾸는 주장</w:t>
      </w:r>
    </w:p>
    <w:p>
      <w:r>
        <w:t>E02와 E08의 비교는 같은 seed를 사용한 설정 비교로는 유효하다. 그러나 초기 가중치까지 같은 상태에서 Dropout만 바뀌었다고 표현하면 실제 코드와 맞지 않는다. 이 때문에 기존 E08 결과만으로 Dropout 자체가 성능을 낮췄다는 인과적 결론을 내리지 않았다.</w:t>
      </w:r>
    </w:p>
    <w:p>
      <w:pPr>
        <w:pStyle w:val="Heading2"/>
      </w:pPr>
      <w:r>
        <w:t>대안 비교</w:t>
      </w:r>
    </w:p>
    <w:p>
      <w:r>
        <w:t>대안 하나는 각 Dense 초기화에 별도의 명시적 seed를 주는 것이다. 다른 대안은 기준모델의 초기 가중치를 이름으로 대응되는 층에 복사하는 것이다. 이번 대조에서는 현재 모델 구현을 유지하면서 초기값 일치를 직접 검증하기 쉬운 두 번째 방법을 선택했다.</w:t>
      </w:r>
    </w:p>
    <w:p>
      <w:r>
        <w:t>결과를 본 뒤 유리한 seed를 골라 다시 실행하지 않았다. 초기값 검사 결과에 따라 추가 대조 계획을 기록하고, 기존과 같은 seed 세 개 모두에서 E08W를 실행하였다.</w:t>
      </w:r>
    </w:p>
    <w:p>
      <w:r>
        <w:rPr>
          <w:color w:val="555555"/>
          <w:sz w:val="18"/>
        </w:rPr>
        <w:t>초기값 검사는 학습 전 배열의 완전 일치를 비교했다. 파일: initialization_control.json. 원인에 대한 설명과 실제 관찰한 가중치 차이를 구분한다.</w:t>
      </w:r>
    </w:p>
    <w:p>
      <w:pPr>
        <w:pStyle w:val="Heading1"/>
        <w:pageBreakBefore/>
      </w:pPr>
      <w:r>
        <w:t>6 초기 가중치를 맞춘 Dropout 대조</w:t>
      </w:r>
    </w:p>
    <w:p>
      <w:r>
        <w:t>E08W는 Dropout 0.3인 E08과 구조·학습 설정이 같다. 각 seed에서 E02를 생성한 직후 Dense 층의 가중치와 편향을 저장하고, 같은 seed로 만든 Dropout 모델의 대응 층에 복사했다. 학습 전에 모든 배열이 동일함을 확인하고 초기값 해시를 남겼다.</w:t>
      </w:r>
    </w:p>
    <w:tbl>
      <w:tblPr>
        <w:tblW w:type="auto" w:w="0"/>
        <w:jc w:val="center"/>
        <w:tblLayout w:type="fixed"/>
        <w:tblLook w:firstColumn="1" w:firstRow="1" w:lastColumn="0" w:lastRow="0" w:noHBand="0" w:noVBand="1" w:val="04A0"/>
      </w:tblPr>
      <w:tblGrid>
        <w:gridCol w:w="1008"/>
        <w:gridCol w:w="1800"/>
        <w:gridCol w:w="1800"/>
        <w:gridCol w:w="2088"/>
        <w:gridCol w:w="3470"/>
      </w:tblGrid>
      <w:tr>
        <w:trPr>
          <w:cantSplit/>
          <w:tblHeader/>
        </w:trPr>
        <w:tc>
          <w:tcPr>
            <w:tcW w:type="dxa" w:w="100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seed</w:t>
            </w:r>
          </w:p>
        </w:tc>
        <w:tc>
          <w:tcPr>
            <w:tcW w:type="dxa" w:w="180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E02 F1</w:t>
            </w:r>
          </w:p>
        </w:tc>
        <w:tc>
          <w:tcPr>
            <w:tcW w:type="dxa" w:w="180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E08 F1</w:t>
            </w:r>
          </w:p>
        </w:tc>
        <w:tc>
          <w:tcPr>
            <w:tcW w:type="dxa" w:w="208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E08W F1</w:t>
            </w:r>
          </w:p>
        </w:tc>
        <w:tc>
          <w:tcPr>
            <w:tcW w:type="dxa" w:w="347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E08W−E02</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2026</w:t>
            </w:r>
          </w:p>
        </w:tc>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0.9138</w:t>
            </w:r>
          </w:p>
        </w:tc>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0.8940</w:t>
            </w:r>
          </w:p>
        </w:tc>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0.8968</w:t>
            </w:r>
          </w:p>
        </w:tc>
        <w:tc>
          <w:tcPr>
            <w:tcW w:type="dxa" w:w="347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-1.70%p</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2027</w:t>
            </w:r>
          </w:p>
        </w:tc>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0.8906</w:t>
            </w:r>
          </w:p>
        </w:tc>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0.8810</w:t>
            </w:r>
          </w:p>
        </w:tc>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0.8373</w:t>
            </w:r>
          </w:p>
        </w:tc>
        <w:tc>
          <w:tcPr>
            <w:tcW w:type="dxa" w:w="347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-5.33%p</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2028</w:t>
            </w:r>
          </w:p>
        </w:tc>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0.9094</w:t>
            </w:r>
          </w:p>
        </w:tc>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0.8320</w:t>
            </w:r>
          </w:p>
        </w:tc>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0.8878</w:t>
            </w:r>
          </w:p>
        </w:tc>
        <w:tc>
          <w:tcPr>
            <w:tcW w:type="dxa" w:w="347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-2.15%p</w:t>
            </w:r>
          </w:p>
        </w:tc>
      </w:tr>
    </w:tbl>
    <w:p>
      <w:pPr>
        <w:spacing w:after="0"/>
      </w:pPr>
    </w:p>
    <w:p>
      <w:r>
        <w:t>E08W의 평균 Macro F1은 0.8740, 표본 표준편차는 0.0321였다. E02 대비 평균 차이는 -3.06%p이다. 기존 E08 평균 0.8690도 함께 보아 초기값 통제 전후의 관찰이 어떻게 달라지는지 확인한다.</w:t>
      </w:r>
    </w:p>
    <w:p>
      <w:pPr>
        <w:pStyle w:val="Heading2"/>
      </w:pPr>
      <w:r>
        <w:t>대조의 의미와 남은 차이</w:t>
      </w:r>
    </w:p>
    <w:p>
      <w:r>
        <w:t>처음 Dense 파라미터가 같다는 조건은 확보했다. 학습 중 Dropout 마스크, 이후 가중치 변화, 조기 종료 시점은 여전히 달라진다. 이는 Dropout을 사용하는 학습 방법의 일부이며 제거해야 할 우연한 초기값 차이와 구분한다.</w:t>
      </w:r>
    </w:p>
    <w:p>
      <w:r>
        <w:t>세 번의 결과로 모든 데이터와 모델에서 Dropout의 효과를 일반화할 수 없다. 비율 0.3, 현재 네트워크, 현재 검증 사람과 학습 예산에서 얻은 추가 증거로 보고한다. 대조 결과를 기존 7조건의 사전 계획 결과와 섞어 최적 모델 탐색의 범위를 숨기지 않는다.</w:t>
      </w:r>
    </w:p>
    <w:p>
      <w:r>
        <w:rPr>
          <w:color w:val="555555"/>
          <w:sz w:val="18"/>
        </w:rPr>
        <w:t>실행 소스: analysis/process_audit/run_matched_dropout.py. 실행별 initialization_match.json에 초기값 일치, 해시, 추가 계획 파일의 해시를 기록하였다.</w:t>
      </w:r>
    </w:p>
    <w:p>
      <w:pPr>
        <w:pStyle w:val="Heading1"/>
        <w:pageBreakBefore/>
      </w:pPr>
      <w:r>
        <w:t>7 데이터 분할과 누출 검사의 범위</w:t>
      </w:r>
    </w:p>
    <w:tbl>
      <w:tblPr>
        <w:tblW w:type="auto" w:w="0"/>
        <w:jc w:val="center"/>
        <w:tblLayout w:type="fixed"/>
        <w:tblLook w:firstColumn="1" w:firstRow="1" w:lastColumn="0" w:lastRow="0" w:noHBand="0" w:noVBand="1" w:val="04A0"/>
      </w:tblPr>
      <w:tblGrid>
        <w:gridCol w:w="2232"/>
        <w:gridCol w:w="1008"/>
        <w:gridCol w:w="1224"/>
        <w:gridCol w:w="5702"/>
      </w:tblGrid>
      <w:tr>
        <w:trPr>
          <w:cantSplit/>
          <w:tblHeader/>
        </w:trPr>
        <w:tc>
          <w:tcPr>
            <w:tcW w:type="dxa" w:w="223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자료</w:t>
            </w:r>
          </w:p>
        </w:tc>
        <w:tc>
          <w:tcPr>
            <w:tcW w:type="dxa" w:w="100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사람 수</w:t>
            </w:r>
          </w:p>
        </w:tc>
        <w:tc>
          <w:tcPr>
            <w:tcW w:type="dxa" w:w="122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표본 수</w:t>
            </w:r>
          </w:p>
        </w:tc>
        <w:tc>
          <w:tcPr>
            <w:tcW w:type="dxa" w:w="570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역할</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fit</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16</w:t>
            </w:r>
          </w:p>
        </w:tc>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5,577</w:t>
            </w:r>
          </w:p>
        </w:tc>
        <w:tc>
          <w:tcPr>
            <w:tcW w:type="dxa" w:w="570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추가 표준화·PCA fit 및 가중치 갱신</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validation</w:t>
            </w:r>
          </w:p>
        </w:tc>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w:t>
            </w:r>
          </w:p>
        </w:tc>
        <w:tc>
          <w:tcPr>
            <w:tcW w:type="dxa" w:w="122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1,775</w:t>
            </w:r>
          </w:p>
        </w:tc>
        <w:tc>
          <w:tcPr>
            <w:tcW w:type="dxa" w:w="570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조기 종료와 조건 비교</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official test</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9</w:t>
            </w:r>
          </w:p>
        </w:tc>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2,947</w:t>
            </w:r>
          </w:p>
        </w:tc>
        <w:tc>
          <w:tcPr>
            <w:tcW w:type="dxa" w:w="570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읽거나 평가하지 않음</w:t>
            </w:r>
          </w:p>
        </w:tc>
      </w:tr>
    </w:tbl>
    <w:p>
      <w:pPr>
        <w:spacing w:after="0"/>
      </w:pPr>
    </w:p>
    <w:p>
      <w:r>
        <w:t>검증 사람은 1·6·14·21·23이다. UCI 창은 50 Hz의 128시점, 즉 2.56초이며 50% 중첩된다. 같은 사람의 비슷한 창이 학습과 검증에 섞이지 않도록 사람을 기준으로 나눴다. 1,775개의 창을 서로 완전히 독립된 1,775명처럼 해석하지 않는다. [1]</w:t>
      </w:r>
    </w:p>
    <w:p>
      <w:pPr>
        <w:pStyle w:val="Heading2"/>
      </w:pPr>
      <w:r>
        <w:t>무엇을 fit했는가</w:t>
      </w:r>
    </w:p>
    <w:p>
      <w:r>
        <w:t>특징은 561개 열별로, 시계열은 표본·시간 축을 합친 9개 채널별로 학습 통계를 구한다. PCA도 표준화한 학습 특징에만 fit한다. E11의 100차원은 이 분할에서 설명분산 95%를 만족한 결과이며 분류 정확도 95%와 다르다.</w:t>
      </w:r>
    </w:p>
    <w:p>
      <w:pPr>
        <w:pStyle w:val="Heading2"/>
      </w:pPr>
      <w:r>
        <w:t>검증 분포를 바꾼 불변성 검사</w:t>
      </w:r>
    </w:p>
    <w:p>
      <w:r>
        <w:t>검증 입력에 큰 상수를 더하는 변형을 적용했을 때 학습 평균·표준편차와 학습 전처리 결과가 완전히 같은지 확인했다. 이는 prepare_data가 검증 값을 학습 통계 계산에 사용하지 않는다는 검사다. UCI가 이미 제공한 특징의 생성 과정 전체나 미래 팀원 코드의 모든 누출 가능성까지 보장하지 않는다.</w:t>
      </w:r>
    </w:p>
    <w:p>
      <w:r>
        <w:t>공식 test를 마지막까지 남긴 이유는 검증 결과로 조건을 고르는 과정 자체가 선택 편향을 만들기 때문이다. 후속 최종 평가에서 test를 확인한 뒤 다시 그 점수에 맞춰 조건을 바꾸면 새로운 독립 평가가 필요하다.</w:t>
      </w:r>
    </w:p>
    <w:p>
      <w:r>
        <w:rPr>
          <w:color w:val="555555"/>
          <w:sz w:val="18"/>
        </w:rPr>
        <w:t>원 자료: UCI HAR, DOI 10.24432/C54S4K, CC BY 4.0. 사람 분할과 변환 범위는 원본 행 ID 및 저장된 split.json으로 추적한다.</w:t>
      </w:r>
    </w:p>
    <w:p>
      <w:pPr>
        <w:pStyle w:val="Heading1"/>
        <w:pageBreakBefore/>
      </w:pPr>
      <w:r>
        <w:t>8 실제 MLP의 순전파와 배열 크기</w:t>
      </w:r>
    </w:p>
    <w:p>
      <w:r>
        <w:t>이하 식은 E02의 두 은닉층 MLP를 행 우선 배치 표기로 나타낸 것이다. B는 배치 크기이고 마지막 차원은 특징 또는 뉴런 수이다. 학습은 TensorFlow·Keras 자동미분으로 수행하며 별도 작은 신경망에서 수학식 구현을 검증한다.</w:t>
      </w:r>
    </w:p>
    <w:tbl>
      <w:tblPr>
        <w:tblW w:type="auto" w:w="0"/>
        <w:jc w:val="center"/>
        <w:tblLayout w:type="fixed"/>
        <w:tblLook w:firstColumn="1" w:firstRow="1" w:lastColumn="0" w:lastRow="0" w:noHBand="0" w:noVBand="1" w:val="04A0"/>
      </w:tblPr>
      <w:tblGrid>
        <w:gridCol w:w="1512"/>
        <w:gridCol w:w="3024"/>
        <w:gridCol w:w="5630"/>
      </w:tblGrid>
      <w:tr>
        <w:trPr>
          <w:cantSplit/>
          <w:tblHeader/>
        </w:trPr>
        <w:tc>
          <w:tcPr>
            <w:tcW w:type="dxa" w:w="151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기호</w:t>
            </w:r>
          </w:p>
        </w:tc>
        <w:tc>
          <w:tcPr>
            <w:tcW w:type="dxa" w:w="302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shape</w:t>
            </w:r>
          </w:p>
        </w:tc>
        <w:tc>
          <w:tcPr>
            <w:tcW w:type="dxa" w:w="563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역할</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X</w:t>
            </w:r>
          </w:p>
        </w:tc>
        <w:tc>
          <w:tcPr>
            <w:tcW w:type="dxa" w:w="302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B × 561</w:t>
            </w:r>
          </w:p>
        </w:tc>
        <w:tc>
          <w:tcPr>
            <w:tcW w:type="dxa" w:w="563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표준화한 입력</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W₁ / b₁</w:t>
            </w:r>
          </w:p>
        </w:tc>
        <w:tc>
          <w:tcPr>
            <w:tcW w:type="dxa" w:w="302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561 × 128 / 128</w:t>
            </w:r>
          </w:p>
        </w:tc>
        <w:tc>
          <w:tcPr>
            <w:tcW w:type="dxa" w:w="563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첫 Dense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H₁</w:t>
            </w:r>
          </w:p>
        </w:tc>
        <w:tc>
          <w:tcPr>
            <w:tcW w:type="dxa" w:w="302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B × 128</w:t>
            </w:r>
          </w:p>
        </w:tc>
        <w:tc>
          <w:tcPr>
            <w:tcW w:type="dxa" w:w="563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첫 ReLU 출력</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W₂ / b₂</w:t>
            </w:r>
          </w:p>
        </w:tc>
        <w:tc>
          <w:tcPr>
            <w:tcW w:type="dxa" w:w="302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128 × 64 / 64</w:t>
            </w:r>
          </w:p>
        </w:tc>
        <w:tc>
          <w:tcPr>
            <w:tcW w:type="dxa" w:w="563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둘째 Dense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H₂</w:t>
            </w:r>
          </w:p>
        </w:tc>
        <w:tc>
          <w:tcPr>
            <w:tcW w:type="dxa" w:w="302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B × 64</w:t>
            </w:r>
          </w:p>
        </w:tc>
        <w:tc>
          <w:tcPr>
            <w:tcW w:type="dxa" w:w="563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둘째 ReLU 출력</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W₃ / b₃</w:t>
            </w:r>
          </w:p>
        </w:tc>
        <w:tc>
          <w:tcPr>
            <w:tcW w:type="dxa" w:w="302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64 × 6 / 6</w:t>
            </w:r>
          </w:p>
        </w:tc>
        <w:tc>
          <w:tcPr>
            <w:tcW w:type="dxa" w:w="563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행동 logits</w:t>
            </w:r>
          </w:p>
        </w:tc>
      </w:tr>
    </w:tbl>
    <w:p>
      <w:pPr>
        <w:spacing w:after="0"/>
      </w:pPr>
    </w:p>
    <w:p>
      <w:pPr>
        <w:jc w:val="center"/>
      </w:pPr>
      <m:oMath>
        <m:sSub>
          <m:e>
            <m:r>
              <m:t>A</m:t>
            </m:r>
          </m:e>
          <m:sub>
            <m:r>
              <m:t>1</m:t>
            </m:r>
          </m:sub>
        </m:sSub>
        <m:r>
          <m:t> = X</m:t>
        </m:r>
        <m:sSub>
          <m:e>
            <m:r>
              <m:t>W</m:t>
            </m:r>
          </m:e>
          <m:sub>
            <m:r>
              <m:t>1</m:t>
            </m:r>
          </m:sub>
        </m:sSub>
        <m:r>
          <m:t> + </m:t>
        </m:r>
        <m:sSub>
          <m:e>
            <m:r>
              <m:t>b</m:t>
            </m:r>
          </m:e>
          <m:sub>
            <m:r>
              <m:t>1</m:t>
            </m:r>
          </m:sub>
        </m:sSub>
        <m:r>
          <m:t>     </m:t>
        </m:r>
        <m:sSub>
          <m:e>
            <m:r>
              <m:t>H</m:t>
            </m:r>
          </m:e>
          <m:sub>
            <m:r>
              <m:t>1</m:t>
            </m:r>
          </m:sub>
        </m:sSub>
        <m:r>
          <m:t> = ReLU(</m:t>
        </m:r>
        <m:sSub>
          <m:e>
            <m:r>
              <m:t>A</m:t>
            </m:r>
          </m:e>
          <m:sub>
            <m:r>
              <m:t>1</m:t>
            </m:r>
          </m:sub>
        </m:sSub>
        <m:r>
          <m:t>)</m:t>
        </m:r>
      </m:oMath>
    </w:p>
    <w:p>
      <w:pPr>
        <w:jc w:val="center"/>
      </w:pPr>
      <m:oMath>
        <m:sSub>
          <m:e>
            <m:r>
              <m:t>A</m:t>
            </m:r>
          </m:e>
          <m:sub>
            <m:r>
              <m:t>2</m:t>
            </m:r>
          </m:sub>
        </m:sSub>
        <m:r>
          <m:t> = </m:t>
        </m:r>
        <m:sSub>
          <m:e>
            <m:r>
              <m:t>H</m:t>
            </m:r>
          </m:e>
          <m:sub>
            <m:r>
              <m:t>1</m:t>
            </m:r>
          </m:sub>
        </m:sSub>
        <m:sSub>
          <m:e>
            <m:r>
              <m:t>W</m:t>
            </m:r>
          </m:e>
          <m:sub>
            <m:r>
              <m:t>2</m:t>
            </m:r>
          </m:sub>
        </m:sSub>
        <m:r>
          <m:t> + </m:t>
        </m:r>
        <m:sSub>
          <m:e>
            <m:r>
              <m:t>b</m:t>
            </m:r>
          </m:e>
          <m:sub>
            <m:r>
              <m:t>2</m:t>
            </m:r>
          </m:sub>
        </m:sSub>
        <m:r>
          <m:t>     </m:t>
        </m:r>
        <m:sSub>
          <m:e>
            <m:r>
              <m:t>H</m:t>
            </m:r>
          </m:e>
          <m:sub>
            <m:r>
              <m:t>2</m:t>
            </m:r>
          </m:sub>
        </m:sSub>
        <m:r>
          <m:t> = ReLU(</m:t>
        </m:r>
        <m:sSub>
          <m:e>
            <m:r>
              <m:t>A</m:t>
            </m:r>
          </m:e>
          <m:sub>
            <m:r>
              <m:t>2</m:t>
            </m:r>
          </m:sub>
        </m:sSub>
        <m:r>
          <m:t>)</m:t>
        </m:r>
      </m:oMath>
    </w:p>
    <w:p>
      <w:pPr>
        <w:jc w:val="center"/>
      </w:pPr>
      <m:oMath>
        <m:r>
          <m:t>Z = </m:t>
        </m:r>
        <m:sSub>
          <m:e>
            <m:r>
              <m:t>H</m:t>
            </m:r>
          </m:e>
          <m:sub>
            <m:r>
              <m:t>2</m:t>
            </m:r>
          </m:sub>
        </m:sSub>
        <m:sSub>
          <m:e>
            <m:r>
              <m:t>W</m:t>
            </m:r>
          </m:e>
          <m:sub>
            <m:r>
              <m:t>3</m:t>
            </m:r>
          </m:sub>
        </m:sSub>
        <m:r>
          <m:t> + </m:t>
        </m:r>
        <m:sSub>
          <m:e>
            <m:r>
              <m:t>b</m:t>
            </m:r>
          </m:e>
          <m:sub>
            <m:r>
              <m:t>3</m:t>
            </m:r>
          </m:sub>
        </m:sSub>
      </m:oMath>
    </w:p>
    <w:p>
      <w:r>
        <w:t>편향은 배치의 모든 행에 broadcast한다. 파라미터 수는 71,936 + 8,256 + 390 = 80,582이다. 마지막 층에 softmax를 넣지 않고 logits를 반환하며 손실에 from_logits=True를 지정한다.</w:t>
      </w:r>
    </w:p>
    <w:p>
      <w:r>
        <w:t>E03은 128×9를 1,152차원으로 펼쳐 같은 은닉층에 넣으며 파라미터는 156,230개다. E11은 PCA 100차원으로 입력을 줄여 21,574개다. 입력 표현과 모델 용량이 함께 변하므로 E02와의 차이를 표현 한 가지의 효과라고 말하지 않는다.</w:t>
      </w:r>
    </w:p>
    <w:p>
      <w:r>
        <w:rPr>
          <w:color w:val="555555"/>
          <w:sz w:val="18"/>
        </w:rPr>
        <w:t>핵심 구현: src/models/mlp.py, src/train.py. 전치·배치 축·편향 broadcast를 구분하면 역전파 식의 shape도 직접 검산할 수 있다.</w:t>
      </w:r>
    </w:p>
    <w:p>
      <w:pPr>
        <w:pStyle w:val="Heading1"/>
        <w:pageBreakBefore/>
      </w:pPr>
      <w:r>
        <w:t>9 교차엔트로피 역전파와 Adam</w:t>
      </w:r>
    </w:p>
    <w:p>
      <w:r>
        <w:t>Y를 정답 one-hot 행렬, P를 각 행의 softmax 확률이라고 둔다. 손실은 B개 표본의 교차엔트로피 평균이다. 자동미분을 사용하더라도 어떤 미분을 계산하는지는 아래 식으로 설명할 수 있어야 한다.</w:t>
      </w:r>
    </w:p>
    <w:p>
      <w:pPr>
        <w:jc w:val="center"/>
      </w:pPr>
      <m:oMath>
        <m:r>
          <m:t>L = −</m:t>
        </m:r>
        <m:f>
          <m:num>
            <m:r>
              <m:t>1</m:t>
            </m:r>
          </m:num>
          <m:den>
            <m:r>
              <m:t>B</m:t>
            </m:r>
          </m:den>
        </m:f>
        <m:r>
          <m:t> Σᵢ log </m:t>
        </m:r>
        <m:sSub>
          <m:e>
            <m:r>
              <m:t>P</m:t>
            </m:r>
          </m:e>
          <m:sub>
            <m:r>
              <m:t>i,yᵢ</m:t>
            </m:r>
          </m:sub>
        </m:sSub>
      </m:oMath>
    </w:p>
    <w:p>
      <w:pPr>
        <w:jc w:val="center"/>
      </w:pPr>
      <m:oMath>
        <m:sSub>
          <m:e>
            <m:r>
              <m:t>D</m:t>
            </m:r>
          </m:e>
          <m:sub>
            <m:r>
              <m:t>3</m:t>
            </m:r>
          </m:sub>
        </m:sSub>
        <m:r>
          <m:t> = </m:t>
        </m:r>
        <m:f>
          <m:num>
            <m:r>
              <m:t>P − Y</m:t>
            </m:r>
          </m:num>
          <m:den>
            <m:r>
              <m:t>B</m:t>
            </m:r>
          </m:den>
        </m:f>
        <m:r>
          <m:t>     </m:t>
        </m:r>
        <m:f>
          <m:num>
            <m:r>
              <m:t>∂L</m:t>
            </m:r>
          </m:num>
          <m:den>
            <m:r>
              <m:t>∂W₃</m:t>
            </m:r>
          </m:den>
        </m:f>
        <m:r>
          <m:t> = </m:t>
        </m:r>
        <m:sSub>
          <m:e>
            <m:r>
              <m:t>H</m:t>
            </m:r>
          </m:e>
          <m:sub>
            <m:r>
              <m:t>2</m:t>
            </m:r>
          </m:sub>
        </m:sSub>
        <m:r>
          <m:t>ᵀ</m:t>
        </m:r>
        <m:sSub>
          <m:e>
            <m:r>
              <m:t>D</m:t>
            </m:r>
          </m:e>
          <m:sub>
            <m:r>
              <m:t>3</m:t>
            </m:r>
          </m:sub>
        </m:sSub>
      </m:oMath>
    </w:p>
    <w:p>
      <w:pPr>
        <w:jc w:val="center"/>
      </w:pPr>
      <m:oMath>
        <m:sSub>
          <m:e>
            <m:r>
              <m:t>D</m:t>
            </m:r>
          </m:e>
          <m:sub>
            <m:r>
              <m:t>2</m:t>
            </m:r>
          </m:sub>
        </m:sSub>
        <m:r>
          <m:t> = (</m:t>
        </m:r>
        <m:sSub>
          <m:e>
            <m:r>
              <m:t>D</m:t>
            </m:r>
          </m:e>
          <m:sub>
            <m:r>
              <m:t>3</m:t>
            </m:r>
          </m:sub>
        </m:sSub>
        <m:sSub>
          <m:e>
            <m:r>
              <m:t>W</m:t>
            </m:r>
          </m:e>
          <m:sub>
            <m:r>
              <m:t>3</m:t>
            </m:r>
          </m:sub>
        </m:sSub>
        <m:r>
          <m:t>ᵀ) ⊙ 1[</m:t>
        </m:r>
        <m:sSub>
          <m:e>
            <m:r>
              <m:t>A</m:t>
            </m:r>
          </m:e>
          <m:sub>
            <m:r>
              <m:t>2</m:t>
            </m:r>
          </m:sub>
        </m:sSub>
        <m:r>
          <m:t> &gt; 0]</m:t>
        </m:r>
      </m:oMath>
    </w:p>
    <w:p>
      <w:pPr>
        <w:jc w:val="center"/>
      </w:pPr>
      <m:oMath>
        <m:f>
          <m:num>
            <m:r>
              <m:t>∂L</m:t>
            </m:r>
          </m:num>
          <m:den>
            <m:r>
              <m:t>∂W₂</m:t>
            </m:r>
          </m:den>
        </m:f>
        <m:r>
          <m:t> = </m:t>
        </m:r>
        <m:sSub>
          <m:e>
            <m:r>
              <m:t>H</m:t>
            </m:r>
          </m:e>
          <m:sub>
            <m:r>
              <m:t>1</m:t>
            </m:r>
          </m:sub>
        </m:sSub>
        <m:r>
          <m:t>ᵀ</m:t>
        </m:r>
        <m:sSub>
          <m:e>
            <m:r>
              <m:t>D</m:t>
            </m:r>
          </m:e>
          <m:sub>
            <m:r>
              <m:t>2</m:t>
            </m:r>
          </m:sub>
        </m:sSub>
        <m:r>
          <m:t>     </m:t>
        </m:r>
        <m:f>
          <m:num>
            <m:r>
              <m:t>∂L</m:t>
            </m:r>
          </m:num>
          <m:den>
            <m:r>
              <m:t>∂b₂</m:t>
            </m:r>
          </m:den>
        </m:f>
        <m:r>
          <m:t> = Σᵢ </m:t>
        </m:r>
        <m:sSub>
          <m:e>
            <m:r>
              <m:t>D</m:t>
            </m:r>
          </m:e>
          <m:sub>
            <m:r>
              <m:t>2,i</m:t>
            </m:r>
          </m:sub>
        </m:sSub>
      </m:oMath>
    </w:p>
    <w:p>
      <w:r>
        <w:t>첫 층에도 같은 연쇄법칙을 적용한다. ReLU 마스크는 순전파 때의 preactivation A가 양수인지로 결정한다. 편향 미분은 배치 축으로 합하며, 평균 손실의 1/B는 D₃에 한 번만 포함한다. 이를 빠뜨리거나 각 층에서 중복 적용하면 잘못된 기울기가 된다.</w:t>
      </w:r>
    </w:p>
    <w:p>
      <w:pPr>
        <w:pStyle w:val="Heading2"/>
      </w:pPr>
      <w:r>
        <w:t>역전파와 옵티마이저의 구분</w:t>
      </w:r>
    </w:p>
    <w:p>
      <w:r>
        <w:t>역전파는 g=∂L/∂θ를 구한다. Adam은 기울기의 1차·2차 모멘트 이동평균과 편향 보정을 사용해 θ를 갱신한다. 실제 설정은 learning_rate=0.001, β₁=0.9, β₂=0.999, ε=10⁻⁷이며 E09·E10에서 학습률만 바꾼다.</w:t>
      </w:r>
    </w:p>
    <w:p>
      <w:r>
        <w:t>손계산 예제의 SGD 한 번과 실제 HAR의 Adam 학습을 같은 갱신으로 설명하지 않는다. 또한 학습 손실은 각 배치가 처리될 당시 가중치에서 집계되고 검증은 epoch 말 가중치로 평가되므로, 두 손실의 차이를 단순한 동일 조건의 오차 차이라고 볼 수 없다.</w:t>
      </w:r>
    </w:p>
    <w:p>
      <w:r>
        <w:rPr>
          <w:color w:val="555555"/>
          <w:sz w:val="18"/>
        </w:rPr>
        <w:t>TensorFlow는 logits 기반 교차엔트로피에 내부 softmax 처리를 포함한다. 근거 [2]. 전체 HAR MLP의 수동 역전파 구현을 완료했다고 주장하지 않는다.</w:t>
      </w:r>
    </w:p>
    <w:p>
      <w:pPr>
        <w:pStyle w:val="Heading1"/>
        <w:pageBreakBefore/>
      </w:pPr>
      <w:r>
        <w:t>10 ReLU 네트워크의 수치 미분 검증</w:t>
      </w:r>
    </w:p>
    <w:p>
      <w:r>
        <w:t>기존 tanh 검증에 더해 실제 기준모델과 같은 ReLU·6개 logits·교차엔트로피 평균을 사용하는 3 → 4 → 6 네트워크를 구성했다. 배치는 8개, 파라미터는 46개다. NumPy 역전파, TensorFlow 자동미분, 중심차분을 비교했다.</w:t>
      </w:r>
    </w:p>
    <w:p>
      <w:pPr>
        <w:jc w:val="center"/>
      </w:pPr>
      <m:oMath>
        <m:r>
          <m:t>중심차분 ≈ </m:t>
        </m:r>
        <m:f>
          <m:num>
            <m:r>
              <m:t>L(θ + h) − L(θ − h)</m:t>
            </m:r>
          </m:num>
          <m:den>
            <m:r>
              <m:t>2h</m:t>
            </m:r>
          </m:den>
        </m:f>
      </m:oMath>
    </w:p>
    <w:tbl>
      <w:tblPr>
        <w:tblW w:type="auto" w:w="0"/>
        <w:jc w:val="center"/>
        <w:tblLayout w:type="fixed"/>
        <w:tblLook w:firstColumn="1" w:firstRow="1" w:lastColumn="0" w:lastRow="0" w:noHBand="0" w:noVBand="1" w:val="04A0"/>
      </w:tblPr>
      <w:tblGrid>
        <w:gridCol w:w="2376"/>
        <w:gridCol w:w="5112"/>
        <w:gridCol w:w="2678"/>
      </w:tblGrid>
      <w:tr>
        <w:trPr>
          <w:cantSplit/>
          <w:tblHeader/>
        </w:trPr>
        <w:tc>
          <w:tcPr>
            <w:tcW w:type="dxa" w:w="237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h</w:t>
            </w:r>
          </w:p>
        </w:tc>
        <w:tc>
          <w:tcPr>
            <w:tcW w:type="dxa" w:w="511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최대 상대 오차</w:t>
            </w:r>
          </w:p>
        </w:tc>
        <w:tc>
          <w:tcPr>
            <w:tcW w:type="dxa" w:w="267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검사 수</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0.001</w:t>
            </w:r>
          </w:p>
        </w:tc>
        <w:tc>
          <w:tcPr>
            <w:tcW w:type="dxa" w:w="511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1.4878e-06</w:t>
            </w:r>
          </w:p>
        </w:tc>
        <w:tc>
          <w:tcPr>
            <w:tcW w:type="dxa" w:w="267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46</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0.0001</w:t>
            </w:r>
          </w:p>
        </w:tc>
        <w:tc>
          <w:tcPr>
            <w:tcW w:type="dxa" w:w="511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1.4874e-08</w:t>
            </w:r>
          </w:p>
        </w:tc>
        <w:tc>
          <w:tcPr>
            <w:tcW w:type="dxa" w:w="267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46</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1e-05</w:t>
            </w:r>
          </w:p>
        </w:tc>
        <w:tc>
          <w:tcPr>
            <w:tcW w:type="dxa" w:w="511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5.7939e-09</w:t>
            </w:r>
          </w:p>
        </w:tc>
        <w:tc>
          <w:tcPr>
            <w:tcW w:type="dxa" w:w="267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46</w:t>
            </w:r>
          </w:p>
        </w:tc>
      </w:tr>
    </w:tbl>
    <w:p>
      <w:pPr>
        <w:spacing w:after="0"/>
      </w:pPr>
    </w:p>
    <w:p>
      <w:r>
        <w:t>총 138회 비교를 수행했다. NumPy와 TensorFlow의 최대 절대 오차는 4.1633e-17였다. 숨은층 preactivation의 최소 절댓값은 0.039580로, 이 검사는 ReLU의 0 근처 비미분점과 떨어진 입력에서 수행했다.</w:t>
      </w:r>
    </w:p>
    <w:p>
      <w:pPr>
        <w:pStyle w:val="Heading2"/>
      </w:pPr>
      <w:r>
        <w:t>검사 도구도 잘못 판단할 수 있는 경우</w:t>
      </w:r>
    </w:p>
    <w:p>
      <w:r>
        <w:t>ReLU(0)의 중심차분은 h가 양수일 때 0.5가 된다. TensorFlow는 x=0에서 0을 선택한다. 이 차이는 TensorFlow의 버그라는 뜻이 아니다. 0에서 고전적인 미분계수가 유일하게 존재하지 않기 때문이다. 수치 미분 검사는 비미분점 여부와 h 크기를 고려해 해석해야 한다.</w:t>
      </w:r>
    </w:p>
    <w:p>
      <w:pPr>
        <w:pStyle w:val="Heading2"/>
      </w:pPr>
      <w:r>
        <w:t>오류를 실제로 잡는지 확인</w:t>
      </w:r>
    </w:p>
    <w:p>
      <w:r>
        <w:t>평균 손실의 미분에서 의도적으로 /B를 빠뜨리면 이 배치에서는 기울기 norm이 정확히 8배가 된다. 자동미분과의 비교가 실패하는 것을 확인했다. 합계 손실을 일관되게 정의한 경우의 8배 기울기는 다른 목적함수의 올바른 미분이므로, 목적함수와 미분을 함께 확인한다.</w:t>
      </w:r>
    </w:p>
    <w:p>
      <w:r>
        <w:rPr>
          <w:color w:val="555555"/>
          <w:sz w:val="18"/>
        </w:rPr>
        <w:t>math_controls.json. 이 장의 잘못된 미분은 검사 능력을 확인하기 위해 의도적으로 주입한 대조이며, 기존 HAR 학습에 그 오류가 있었다고 서술하지 않는다.</w:t>
      </w:r>
    </w:p>
    <w:p>
      <w:pPr>
        <w:pStyle w:val="Heading1"/>
        <w:pageBreakBefore/>
      </w:pPr>
      <w:r>
        <w:t>11 softmax 안정화와 확률의 함정</w:t>
      </w:r>
    </w:p>
    <w:p>
      <w:r>
        <w:t>큰 logits에 exp를 바로 적용하는 naive softmax는 overflow를 일으킬 수 있다. [1000, 1001, 999, −1000, 0, 1002]를 넣는 의도적 대조에서 4개 확률 값이 비유한 값이 되었다. 각 행의 최댓값을 뺀 뒤 계산하면 모든 확률이 유한하고 합은 1이 된다.</w:t>
      </w:r>
    </w:p>
    <w:p>
      <w:pPr>
        <w:jc w:val="center"/>
      </w:pPr>
      <m:oMath>
        <m:sSub>
          <m:e>
            <m:r>
              <m:t>P</m:t>
            </m:r>
          </m:e>
          <m:sub>
            <m:r>
              <m:t>ik</m:t>
            </m:r>
          </m:sub>
        </m:sSub>
        <m:r>
          <m:t> = </m:t>
        </m:r>
        <m:f>
          <m:num>
            <m:r>
              <m:t>exp(Zᵢₖ − maxⱼ Zᵢⱼ)</m:t>
            </m:r>
          </m:num>
          <m:den>
            <m:r>
              <m:t>Σⱼ exp(Zᵢⱼ − maxⱼ Zᵢⱼ)</m:t>
            </m:r>
          </m:den>
        </m:f>
      </m:oMath>
    </w:p>
    <w:tbl>
      <w:tblPr>
        <w:tblW w:type="auto" w:w="0"/>
        <w:jc w:val="center"/>
        <w:tblLayout w:type="fixed"/>
        <w:tblLook w:firstColumn="1" w:firstRow="1" w:lastColumn="0" w:lastRow="0" w:noHBand="0" w:noVBand="1" w:val="04A0"/>
      </w:tblPr>
      <w:tblGrid>
        <w:gridCol w:w="2448"/>
        <w:gridCol w:w="2448"/>
        <w:gridCol w:w="5270"/>
      </w:tblGrid>
      <w:tr>
        <w:trPr>
          <w:cantSplit/>
          <w:tblHeader/>
        </w:trPr>
        <w:tc>
          <w:tcPr>
            <w:tcW w:type="dxa" w:w="244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계산</w:t>
            </w:r>
          </w:p>
        </w:tc>
        <w:tc>
          <w:tcPr>
            <w:tcW w:type="dxa" w:w="244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실제 관찰</w:t>
            </w:r>
          </w:p>
        </w:tc>
        <w:tc>
          <w:tcPr>
            <w:tcW w:type="dxa" w:w="527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해석</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naive exp / 합</w:t>
            </w:r>
          </w:p>
        </w:tc>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비유한 값 4개</w:t>
            </w:r>
          </w:p>
        </w:tc>
        <w:tc>
          <w:tcPr>
            <w:tcW w:type="dxa" w:w="527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큰 exp 값의 overflow</w:t>
            </w:r>
          </w:p>
        </w:tc>
      </w:tr>
      <w:tr>
        <w:trPr>
          <w:cantSplit/>
        </w:trPr>
        <w:tc>
          <w:tcPr>
            <w:tcW w:type="dxa" w:w="244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최댓값을 뺀 softmax</w:t>
            </w:r>
          </w:p>
        </w:tc>
        <w:tc>
          <w:tcPr>
            <w:tcW w:type="dxa" w:w="244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합 1.0, 최댓값 클래스 5</w:t>
            </w:r>
          </w:p>
        </w:tc>
        <w:tc>
          <w:tcPr>
            <w:tcW w:type="dxa" w:w="527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확률 계산의 안정성 개선</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클래스 3의 확률</w:t>
            </w:r>
          </w:p>
        </w:tc>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w:t>
            </w:r>
          </w:p>
        </w:tc>
        <w:tc>
          <w:tcPr>
            <w:tcW w:type="dxa" w:w="527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매우 작은 확률의 underflow는 남음</w:t>
            </w:r>
          </w:p>
        </w:tc>
      </w:tr>
      <w:tr>
        <w:trPr>
          <w:cantSplit/>
        </w:trPr>
        <w:tc>
          <w:tcPr>
            <w:tcW w:type="dxa" w:w="244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logits 기반 교차엔트로피</w:t>
            </w:r>
          </w:p>
        </w:tc>
        <w:tc>
          <w:tcPr>
            <w:tcW w:type="dxa" w:w="244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2002.440190</w:t>
            </w:r>
          </w:p>
        </w:tc>
        <w:tc>
          <w:tcPr>
            <w:tcW w:type="dxa" w:w="527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클래스 3이 정답이어도 유한한 손실</w:t>
            </w:r>
          </w:p>
        </w:tc>
      </w:tr>
    </w:tbl>
    <w:p>
      <w:pPr>
        <w:spacing w:after="0"/>
      </w:pPr>
    </w:p>
    <w:p>
      <w:pPr>
        <w:pStyle w:val="Heading2"/>
      </w:pPr>
      <w:r>
        <w:t>확률이 유한하면 손실도 안전한가</w:t>
      </w:r>
    </w:p>
    <w:p>
      <w:r>
        <w:t>아니다. 매우 작은 확률이 0으로 반올림되면 −log(0)은 무한대가 된다. 따라서 학습 손실은 softmax 확률을 따로 구해 로그를 취하는 대신 logits의 logsumexp 형태로 계산한다. TensorFlow의 logits 기반 교차엔트로피와 NumPy logsumexp 계산이 일치함을 확인했다.</w:t>
      </w:r>
    </w:p>
    <w:p>
      <w:pPr>
        <w:jc w:val="center"/>
      </w:pPr>
      <m:oMath>
        <m:r>
          <m:t>한 표본의 손실 = logsumexp(Z) − </m:t>
        </m:r>
        <m:sSub>
          <m:e>
            <m:r>
              <m:t>Z</m:t>
            </m:r>
          </m:e>
          <m:sub>
            <m:r>
              <m:t>정답</m:t>
            </m:r>
          </m:sub>
        </m:sSub>
      </m:oMath>
    </w:p>
    <w:p>
      <w:r>
        <w:t>이 대조는 현재 구현의 안정적 softmax와 from_logits=True 선택을 설명하는 근거다. 큰 logits가 실제 HAR 학습에서 발생해 모델이 실패했다는 사례로 바꾸어 말하지 않는다.</w:t>
      </w:r>
    </w:p>
    <w:p>
      <w:r>
        <w:rPr>
          <w:color w:val="555555"/>
          <w:sz w:val="18"/>
        </w:rPr>
        <w:t>근거: math_controls.py 및 math_controls.json. 예측용 확률 계산과 학습용 안정적 손실 계산은 서로 연결되지만 동일한 수치 절차가 아니다.</w:t>
      </w:r>
    </w:p>
    <w:p>
      <w:pPr>
        <w:pStyle w:val="Heading1"/>
        <w:pageBreakBefore/>
      </w:pPr>
      <w:r>
        <w:t>12 반복 실험의 계획과 통계 해석</w:t>
      </w:r>
    </w:p>
    <w:p>
      <w:r>
        <w:t>기존 7조건을 seed 2026·2027·2028에서 각각 다시 학습했다. 이후 초기값 검사에 따라 E08W 세 번을 추가했다. 따라서 이번에 새로 수행한 학습은 21+3=24회이다. 최초 v1의 7회와 혼동하지 않도록 별도 실행 폴더를 사용한다.</w:t>
      </w:r>
    </w:p>
    <w:tbl>
      <w:tblPr>
        <w:tblW w:type="auto" w:w="0"/>
        <w:jc w:val="center"/>
        <w:tblLayout w:type="fixed"/>
        <w:tblLook w:firstColumn="1" w:firstRow="1" w:lastColumn="0" w:lastRow="0" w:noHBand="0" w:noVBand="1" w:val="04A0"/>
      </w:tblPr>
      <w:tblGrid>
        <w:gridCol w:w="2304"/>
        <w:gridCol w:w="7862"/>
      </w:tblGrid>
      <w:tr>
        <w:trPr>
          <w:cantSplit/>
          <w:tblHeader/>
        </w:trPr>
        <w:tc>
          <w:tcPr>
            <w:tcW w:type="dxa" w:w="230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통제 항목</w:t>
            </w:r>
          </w:p>
        </w:tc>
        <w:tc>
          <w:tcPr>
            <w:tcW w:type="dxa" w:w="786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유지한 값</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사람 분할</w:t>
            </w:r>
          </w:p>
        </w:tc>
        <w:tc>
          <w:tcPr>
            <w:tcW w:type="dxa" w:w="786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fit 16명 / validation 5명, 검증 ID 고정</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전처리</w:t>
            </w:r>
          </w:p>
        </w:tc>
        <w:tc>
          <w:tcPr>
            <w:tcW w:type="dxa" w:w="786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fit 자료만 통계·PCA 계산</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학습</w:t>
            </w:r>
          </w:p>
        </w:tc>
        <w:tc>
          <w:tcPr>
            <w:tcW w:type="dxa" w:w="786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batch 64, 최대 40 epoch, Adam</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중단과 복원</w:t>
            </w:r>
          </w:p>
        </w:tc>
        <w:tc>
          <w:tcPr>
            <w:tcW w:type="dxa" w:w="786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val_loss 최소, patience 6, 최선 가중치 복원</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실행</w:t>
            </w:r>
          </w:p>
        </w:tc>
        <w:tc>
          <w:tcPr>
            <w:tcW w:type="dxa" w:w="786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조건·seed마다 새 Python 프로세스</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보고 지표</w:t>
            </w:r>
          </w:p>
        </w:tc>
        <w:tc>
          <w:tcPr>
            <w:tcW w:type="dxa" w:w="786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Accuracy, 6클래스 Macro F1, 평균과 표본 SD</w:t>
            </w:r>
          </w:p>
        </w:tc>
      </w:tr>
    </w:tbl>
    <w:p>
      <w:pPr>
        <w:spacing w:after="0"/>
      </w:pPr>
    </w:p>
    <w:p>
      <w:pPr>
        <w:jc w:val="center"/>
      </w:pPr>
      <m:oMath>
        <m:r>
          <m:t>평균 = </m:t>
        </m:r>
        <m:f>
          <m:num>
            <m:r>
              <m:t>Σₛ F1ₛ</m:t>
            </m:r>
          </m:num>
          <m:den>
            <m:r>
              <m:t>3</m:t>
            </m:r>
          </m:den>
        </m:f>
        <m:r>
          <m:t>     표본 SD = √{Σₛ(F1ₛ − 평균)² / 2}</m:t>
        </m:r>
      </m:oMath>
    </w:p>
    <w:p>
      <w:r>
        <w:t>표준편차는 ddof=1로 계산했다. 이것은 같은 검증 사람에서 초기화·셔플 등 학습 과정의 변동을 나타낸다. 다른 사람을 다시 뽑았을 때의 불확실성이나 모집단 신뢰구간은 아니다. seed가 세 개뿐이므로 유의성 검정이나 통계적 우월성을 제시하지 않는다.</w:t>
      </w:r>
    </w:p>
    <w:p>
      <w:r>
        <w:t>시계열과 PCA는 입력 차원과 파라미터 수가 함께 변한다. 학습률 비교도 조기 종료와 상호작용한다. 동일 설정의 의미를 “모든 조건이 동일한 학습 경로를 가진다”로 확대하지 않는다. 이번 실행 시간은 별도 속도 벤치마크로 사용하지 않는다.</w:t>
      </w:r>
    </w:p>
    <w:p>
      <w:r>
        <w:rPr>
          <w:color w:val="555555"/>
          <w:sz w:val="18"/>
        </w:rPr>
        <w:t>7조건 계획과 초기값 대조 추가 계획은 별도 문서·커밋으로 보존했다. 유리한 seed만 보고하는 선택을 피하기 위해 세 seed의 결과를 모두 제시한다.</w:t>
      </w:r>
    </w:p>
    <w:p>
      <w:pPr>
        <w:pStyle w:val="Heading1"/>
        <w:pageBreakBefore/>
      </w:pPr>
      <w:r>
        <w:t>13 반복 실험의 전체 결과</w:t>
      </w:r>
    </w:p>
    <w:p>
      <w:r>
        <w:rPr>
          <w:color w:val="555555"/>
          <w:sz w:val="18"/>
        </w:rPr>
        <w:t>E02 특징 기준 / E03 시계열 / E07 추가 표준화 없음 / E08 Dropout 0.3 / E09 학습률 0.0003 / E10 학습률 0.003 / E11 PCA 95% / E08W 초기값 일치 Dropout</w:t>
      </w:r>
    </w:p>
    <w:tbl>
      <w:tblPr>
        <w:tblW w:type="auto" w:w="0"/>
        <w:jc w:val="center"/>
        <w:tblLayout w:type="fixed"/>
        <w:tblLook w:firstColumn="1" w:firstRow="1" w:lastColumn="0" w:lastRow="0" w:noHBand="0" w:noVBand="1" w:val="04A0"/>
      </w:tblPr>
      <w:tblGrid>
        <w:gridCol w:w="1008"/>
        <w:gridCol w:w="2448"/>
        <w:gridCol w:w="1584"/>
        <w:gridCol w:w="2664"/>
        <w:gridCol w:w="2462"/>
      </w:tblGrid>
      <w:tr>
        <w:trPr>
          <w:cantSplit/>
          <w:tblHeader/>
        </w:trPr>
        <w:tc>
          <w:tcPr>
            <w:tcW w:type="dxa" w:w="100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조건</w:t>
            </w:r>
          </w:p>
        </w:tc>
        <w:tc>
          <w:tcPr>
            <w:tcW w:type="dxa" w:w="244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Macro F1 평균</w:t>
            </w:r>
          </w:p>
        </w:tc>
        <w:tc>
          <w:tcPr>
            <w:tcW w:type="dxa" w:w="158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표본 SD</w:t>
            </w:r>
          </w:p>
        </w:tc>
        <w:tc>
          <w:tcPr>
            <w:tcW w:type="dxa" w:w="266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Accuracy 평균</w:t>
            </w:r>
          </w:p>
        </w:tc>
        <w:tc>
          <w:tcPr>
            <w:tcW w:type="dxa" w:w="246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파라미터</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E02</w:t>
            </w:r>
          </w:p>
        </w:tc>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0.9046</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0.0123</w:t>
            </w:r>
          </w:p>
        </w:tc>
        <w:tc>
          <w:tcPr>
            <w:tcW w:type="dxa" w:w="266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0.9061</w:t>
            </w:r>
          </w:p>
        </w:tc>
        <w:tc>
          <w:tcPr>
            <w:tcW w:type="dxa" w:w="246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80,582</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E03</w:t>
            </w:r>
          </w:p>
        </w:tc>
        <w:tc>
          <w:tcPr>
            <w:tcW w:type="dxa" w:w="244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0.8635</w:t>
            </w:r>
          </w:p>
        </w:tc>
        <w:tc>
          <w:tcPr>
            <w:tcW w:type="dxa" w:w="158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0.0140</w:t>
            </w:r>
          </w:p>
        </w:tc>
        <w:tc>
          <w:tcPr>
            <w:tcW w:type="dxa" w:w="266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0.8657</w:t>
            </w:r>
          </w:p>
        </w:tc>
        <w:tc>
          <w:tcPr>
            <w:tcW w:type="dxa" w:w="246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156,230</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E07</w:t>
            </w:r>
          </w:p>
        </w:tc>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0.9034</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0.0160</w:t>
            </w:r>
          </w:p>
        </w:tc>
        <w:tc>
          <w:tcPr>
            <w:tcW w:type="dxa" w:w="266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0.9044</w:t>
            </w:r>
          </w:p>
        </w:tc>
        <w:tc>
          <w:tcPr>
            <w:tcW w:type="dxa" w:w="246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80,582</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E08</w:t>
            </w:r>
          </w:p>
        </w:tc>
        <w:tc>
          <w:tcPr>
            <w:tcW w:type="dxa" w:w="244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0.8690</w:t>
            </w:r>
          </w:p>
        </w:tc>
        <w:tc>
          <w:tcPr>
            <w:tcW w:type="dxa" w:w="158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0.0327</w:t>
            </w:r>
          </w:p>
        </w:tc>
        <w:tc>
          <w:tcPr>
            <w:tcW w:type="dxa" w:w="266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0.8719</w:t>
            </w:r>
          </w:p>
        </w:tc>
        <w:tc>
          <w:tcPr>
            <w:tcW w:type="dxa" w:w="246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80,582</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E09</w:t>
            </w:r>
          </w:p>
        </w:tc>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0.8931</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0.0178</w:t>
            </w:r>
          </w:p>
        </w:tc>
        <w:tc>
          <w:tcPr>
            <w:tcW w:type="dxa" w:w="266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0.8948</w:t>
            </w:r>
          </w:p>
        </w:tc>
        <w:tc>
          <w:tcPr>
            <w:tcW w:type="dxa" w:w="246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80,582</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E10</w:t>
            </w:r>
          </w:p>
        </w:tc>
        <w:tc>
          <w:tcPr>
            <w:tcW w:type="dxa" w:w="244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0.9021</w:t>
            </w:r>
          </w:p>
        </w:tc>
        <w:tc>
          <w:tcPr>
            <w:tcW w:type="dxa" w:w="158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0.0106</w:t>
            </w:r>
          </w:p>
        </w:tc>
        <w:tc>
          <w:tcPr>
            <w:tcW w:type="dxa" w:w="266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0.9033</w:t>
            </w:r>
          </w:p>
        </w:tc>
        <w:tc>
          <w:tcPr>
            <w:tcW w:type="dxa" w:w="246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80,582</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E11</w:t>
            </w:r>
          </w:p>
        </w:tc>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0.8771</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0.0209</w:t>
            </w:r>
          </w:p>
        </w:tc>
        <w:tc>
          <w:tcPr>
            <w:tcW w:type="dxa" w:w="266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0.8792</w:t>
            </w:r>
          </w:p>
        </w:tc>
        <w:tc>
          <w:tcPr>
            <w:tcW w:type="dxa" w:w="246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21,574</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E08W</w:t>
            </w:r>
          </w:p>
        </w:tc>
        <w:tc>
          <w:tcPr>
            <w:tcW w:type="dxa" w:w="244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0.8740</w:t>
            </w:r>
          </w:p>
        </w:tc>
        <w:tc>
          <w:tcPr>
            <w:tcW w:type="dxa" w:w="158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0.0321</w:t>
            </w:r>
          </w:p>
        </w:tc>
        <w:tc>
          <w:tcPr>
            <w:tcW w:type="dxa" w:w="266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0.8768</w:t>
            </w:r>
          </w:p>
        </w:tc>
        <w:tc>
          <w:tcPr>
            <w:tcW w:type="dxa" w:w="246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80,582</w:t>
            </w:r>
          </w:p>
        </w:tc>
      </w:tr>
    </w:tbl>
    <w:p>
      <w:pPr>
        <w:spacing w:after="0"/>
      </w:pPr>
    </w:p>
    <w:p>
      <w:r>
        <w:drawing>
          <wp:inline xmlns:a="http://schemas.openxmlformats.org/drawingml/2006/main" xmlns:pic="http://schemas.openxmlformats.org/drawingml/2006/picture">
            <wp:extent cx="6035040" cy="2054482"/>
            <wp:docPr id="1" name="Picture 1"/>
            <wp:cNvGraphicFramePr>
              <a:graphicFrameLocks noChangeAspect="1"/>
            </wp:cNvGraphicFramePr>
            <a:graphic>
              <a:graphicData uri="http://schemas.openxmlformats.org/drawingml/2006/picture">
                <pic:pic>
                  <pic:nvPicPr>
                    <pic:cNvPr id="0" name="repeat_means.png"/>
                    <pic:cNvPicPr/>
                  </pic:nvPicPr>
                  <pic:blipFill>
                    <a:blip r:embed="rId11"/>
                    <a:stretch>
                      <a:fillRect/>
                    </a:stretch>
                  </pic:blipFill>
                  <pic:spPr>
                    <a:xfrm>
                      <a:off x="0" y="0"/>
                      <a:ext cx="6035040" cy="2054482"/>
                    </a:xfrm>
                    <a:prstGeom prst="rect"/>
                  </pic:spPr>
                </pic:pic>
              </a:graphicData>
            </a:graphic>
          </wp:inline>
        </w:drawing>
      </w:r>
    </w:p>
    <w:p>
      <w:r>
        <w:rPr>
          <w:color w:val="555555"/>
          <w:sz w:val="18"/>
        </w:rPr>
        <w:t>그림 1. 3seed 평균 Macro F1. E08W는 초기값 검사 후 추가한 별도 대조 조건이다.</w:t>
      </w:r>
    </w:p>
    <w:p>
      <w:r>
        <w:t>기존 7조건의 최고 평균은 E02(0.9046)이었다. 평균의 작은 차이만 보고 순위를 확정하기보다 다음 장의 seed별 변화와 대조 실험을 함께 보아야 한다. E08W는 본래 7조건과 구분해 표시한다.</w:t>
      </w:r>
    </w:p>
    <w:p>
      <w:r>
        <w:rPr>
          <w:color w:val="555555"/>
          <w:sz w:val="18"/>
        </w:rPr>
        <w:t>원래 정밀도 수치: condition_summary.csv, repeat_results.csv. 표의 SD는 표본 표준편차이며 평균의 신뢰구간으로 읽지 않는다.</w:t>
      </w:r>
    </w:p>
    <w:p>
      <w:pPr>
        <w:pStyle w:val="Heading1"/>
        <w:pageBreakBefore/>
      </w:pPr>
      <w:r>
        <w:t>14 seed별 비교가 바꾸는 결론</w:t>
      </w:r>
    </w:p>
    <w:tbl>
      <w:tblPr>
        <w:tblW w:type="auto" w:w="0"/>
        <w:jc w:val="center"/>
        <w:tblLayout w:type="fixed"/>
        <w:tblLook w:firstColumn="1" w:firstRow="1" w:lastColumn="0" w:lastRow="0" w:noHBand="0" w:noVBand="1" w:val="04A0"/>
      </w:tblPr>
      <w:tblGrid>
        <w:gridCol w:w="1440"/>
        <w:gridCol w:w="2088"/>
        <w:gridCol w:w="2088"/>
        <w:gridCol w:w="2088"/>
        <w:gridCol w:w="2462"/>
      </w:tblGrid>
      <w:tr>
        <w:trPr>
          <w:cantSplit/>
          <w:tblHeader/>
        </w:trPr>
        <w:tc>
          <w:tcPr>
            <w:tcW w:type="dxa" w:w="144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조건</w:t>
            </w:r>
          </w:p>
        </w:tc>
        <w:tc>
          <w:tcPr>
            <w:tcW w:type="dxa" w:w="208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seed 2026</w:t>
            </w:r>
          </w:p>
        </w:tc>
        <w:tc>
          <w:tcPr>
            <w:tcW w:type="dxa" w:w="208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seed 2027</w:t>
            </w:r>
          </w:p>
        </w:tc>
        <w:tc>
          <w:tcPr>
            <w:tcW w:type="dxa" w:w="208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seed 2028</w:t>
            </w:r>
          </w:p>
        </w:tc>
        <w:tc>
          <w:tcPr>
            <w:tcW w:type="dxa" w:w="246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평균 차이</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E03</w:t>
            </w:r>
          </w:p>
        </w:tc>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-3.73</w:t>
            </w:r>
          </w:p>
        </w:tc>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-2.55</w:t>
            </w:r>
          </w:p>
        </w:tc>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-6.06</w:t>
            </w:r>
          </w:p>
        </w:tc>
        <w:tc>
          <w:tcPr>
            <w:tcW w:type="dxa" w:w="246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-4.11</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E07</w:t>
            </w:r>
          </w:p>
        </w:tc>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-2.74</w:t>
            </w:r>
          </w:p>
        </w:tc>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+1.50</w:t>
            </w:r>
          </w:p>
        </w:tc>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+0.88</w:t>
            </w:r>
          </w:p>
        </w:tc>
        <w:tc>
          <w:tcPr>
            <w:tcW w:type="dxa" w:w="246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-0.12</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E08</w:t>
            </w:r>
          </w:p>
        </w:tc>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-1.99</w:t>
            </w:r>
          </w:p>
        </w:tc>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-0.96</w:t>
            </w:r>
          </w:p>
        </w:tc>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-7.74</w:t>
            </w:r>
          </w:p>
        </w:tc>
        <w:tc>
          <w:tcPr>
            <w:tcW w:type="dxa" w:w="246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-3.56</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E09</w:t>
            </w:r>
          </w:p>
        </w:tc>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-3.90</w:t>
            </w:r>
          </w:p>
        </w:tc>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+0.33</w:t>
            </w:r>
          </w:p>
        </w:tc>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+0.12</w:t>
            </w:r>
          </w:p>
        </w:tc>
        <w:tc>
          <w:tcPr>
            <w:tcW w:type="dxa" w:w="246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-1.15</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E10</w:t>
            </w:r>
          </w:p>
        </w:tc>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-2.40</w:t>
            </w:r>
          </w:p>
        </w:tc>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+1.77</w:t>
            </w:r>
          </w:p>
        </w:tc>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-0.12</w:t>
            </w:r>
          </w:p>
        </w:tc>
        <w:tc>
          <w:tcPr>
            <w:tcW w:type="dxa" w:w="246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-0.25</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E11</w:t>
            </w:r>
          </w:p>
        </w:tc>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-3.43</w:t>
            </w:r>
          </w:p>
        </w:tc>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-3.56</w:t>
            </w:r>
          </w:p>
        </w:tc>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-1.28</w:t>
            </w:r>
          </w:p>
        </w:tc>
        <w:tc>
          <w:tcPr>
            <w:tcW w:type="dxa" w:w="246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-2.76</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E08W</w:t>
            </w:r>
          </w:p>
        </w:tc>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-1.70</w:t>
            </w:r>
          </w:p>
        </w:tc>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-5.33</w:t>
            </w:r>
          </w:p>
        </w:tc>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-2.15</w:t>
            </w:r>
          </w:p>
        </w:tc>
        <w:tc>
          <w:tcPr>
            <w:tcW w:type="dxa" w:w="246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-3.06</w:t>
            </w:r>
          </w:p>
        </w:tc>
      </w:tr>
    </w:tbl>
    <w:p>
      <w:pPr>
        <w:spacing w:after="0"/>
      </w:pPr>
    </w:p>
    <w:p>
      <w:r>
        <w:rPr>
          <w:color w:val="555555"/>
          <w:sz w:val="18"/>
        </w:rPr>
        <w:t>단위: E02 대비 Macro F1 차이(%p). 양수는 해당 seed에서 E02보다 높다는 뜻이다. E08W는 초기 가중치 일치 대조다.</w:t>
      </w:r>
    </w:p>
    <w:p>
      <w:r>
        <w:t>seed 2026에서는 E02가 기존 7조건 중 최고였다. 그러나 seed 2027에서는 E07·E09·E10이 E02보다 높았다. 따라서 “추가 표준화나 기본 학습률이 항상 가장 좋다”는 설명은 결과와 맞지 않는다. 고정된 검증 분할에서도 학습 초기화와 경로에 따라 비교 결과가 달라진다.</w:t>
      </w:r>
    </w:p>
    <w:p>
      <w:pPr>
        <w:pStyle w:val="Heading2"/>
      </w:pPr>
      <w:r>
        <w:t>평균 차이와 paired 비교</w:t>
      </w:r>
    </w:p>
    <w:p>
      <w:r>
        <w:t>같은 seed끼리 차이를 계산하면 결과를 대응시켜 볼 수 있지만, seed 숫자가 같다고 두 구조의 모든 난수와 초기값이 같지는 않다. E08W는 그중 초기 Dense 가중치 차이를 제거한 추가 대조다. 대응 차이는 기술통계로 제시하며 n=3에서 신뢰할 만한 유의성 결론으로 확대하지 않는다.</w:t>
      </w:r>
    </w:p>
    <w:p>
      <w:pPr>
        <w:pStyle w:val="Heading2"/>
      </w:pPr>
      <w:r>
        <w:t>업데이트한 주장</w:t>
      </w:r>
    </w:p>
    <w:p>
      <w:r>
        <w:t>기준모델로 E02를 제공한 이유는 설명하기 쉬운 구조와 실제 기준 성능을 확보하기 위해서다. “어떤 조건에서도 최강인 모델”을 만들었다는 의미는 아니다. 결과가 달라진 사례도 전체 표에 남기는 것이 설계와 해석의 신뢰성을 높인다.</w:t>
      </w:r>
    </w:p>
    <w:p>
      <w:r>
        <w:rPr>
          <w:color w:val="555555"/>
          <w:sz w:val="18"/>
        </w:rPr>
        <w:t>원본: paired_deltas.csv. 이 표는 실제 관찰값에 따른 설명이며 결과에 맞춰 가설을 사전에 세웠던 것처럼 바꾸지 않는다.</w:t>
      </w:r>
    </w:p>
    <w:p>
      <w:pPr>
        <w:pStyle w:val="Heading1"/>
        <w:pageBreakBefore/>
      </w:pPr>
      <w:r>
        <w:t>15 사람별 성능과 표본 독립성</w:t>
      </w:r>
    </w:p>
    <w:tbl>
      <w:tblPr>
        <w:tblW w:type="auto" w:w="0"/>
        <w:jc w:val="center"/>
        <w:tblLayout w:type="fixed"/>
        <w:tblLook w:firstColumn="1" w:firstRow="1" w:lastColumn="0" w:lastRow="0" w:noHBand="0" w:noVBand="1" w:val="04A0"/>
      </w:tblPr>
      <w:tblGrid>
        <w:gridCol w:w="1584"/>
        <w:gridCol w:w="1512"/>
        <w:gridCol w:w="2304"/>
        <w:gridCol w:w="2304"/>
        <w:gridCol w:w="2318"/>
      </w:tblGrid>
      <w:tr>
        <w:trPr>
          <w:cantSplit/>
          <w:tblHeader/>
        </w:trPr>
        <w:tc>
          <w:tcPr>
            <w:tcW w:type="dxa" w:w="158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사람 ID</w:t>
            </w:r>
          </w:p>
        </w:tc>
        <w:tc>
          <w:tcPr>
            <w:tcW w:type="dxa" w:w="151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창 수</w:t>
            </w:r>
          </w:p>
        </w:tc>
        <w:tc>
          <w:tcPr>
            <w:tcW w:type="dxa" w:w="230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F1 2026</w:t>
            </w:r>
          </w:p>
        </w:tc>
        <w:tc>
          <w:tcPr>
            <w:tcW w:type="dxa" w:w="230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F1 2027</w:t>
            </w:r>
          </w:p>
        </w:tc>
        <w:tc>
          <w:tcPr>
            <w:tcW w:type="dxa" w:w="231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F1 2028</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w:t>
            </w:r>
          </w:p>
        </w:tc>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347</w:t>
            </w:r>
          </w:p>
        </w:tc>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0.9567</w:t>
            </w:r>
          </w:p>
        </w:tc>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0.9866</w:t>
            </w:r>
          </w:p>
        </w:tc>
        <w:tc>
          <w:tcPr>
            <w:tcW w:type="dxa" w:w="231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0.9868</w:t>
            </w:r>
          </w:p>
        </w:tc>
      </w:tr>
      <w:tr>
        <w:trPr>
          <w:cantSplit/>
        </w:trPr>
        <w:tc>
          <w:tcPr>
            <w:tcW w:type="dxa" w:w="158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6</w:t>
            </w:r>
          </w:p>
        </w:tc>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325</w:t>
            </w:r>
          </w:p>
        </w:tc>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0.7740</w:t>
            </w:r>
          </w:p>
        </w:tc>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0.8945</w:t>
            </w:r>
          </w:p>
        </w:tc>
        <w:tc>
          <w:tcPr>
            <w:tcW w:type="dxa" w:w="231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0.8586</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14</w:t>
            </w:r>
          </w:p>
        </w:tc>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323</w:t>
            </w:r>
          </w:p>
        </w:tc>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0.8613</w:t>
            </w:r>
          </w:p>
        </w:tc>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0.6520</w:t>
            </w:r>
          </w:p>
        </w:tc>
        <w:tc>
          <w:tcPr>
            <w:tcW w:type="dxa" w:w="231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0.7469</w:t>
            </w:r>
          </w:p>
        </w:tc>
      </w:tr>
      <w:tr>
        <w:trPr>
          <w:cantSplit/>
        </w:trPr>
        <w:tc>
          <w:tcPr>
            <w:tcW w:type="dxa" w:w="158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21</w:t>
            </w:r>
          </w:p>
        </w:tc>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408</w:t>
            </w:r>
          </w:p>
        </w:tc>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0.9480</w:t>
            </w:r>
          </w:p>
        </w:tc>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0.9107</w:t>
            </w:r>
          </w:p>
        </w:tc>
        <w:tc>
          <w:tcPr>
            <w:tcW w:type="dxa" w:w="231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0.9363</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23</w:t>
            </w:r>
          </w:p>
        </w:tc>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372</w:t>
            </w:r>
          </w:p>
        </w:tc>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0.9848</w:t>
            </w:r>
          </w:p>
        </w:tc>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0.9651</w:t>
            </w:r>
          </w:p>
        </w:tc>
        <w:tc>
          <w:tcPr>
            <w:tcW w:type="dxa" w:w="231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0.9774</w:t>
            </w:r>
          </w:p>
        </w:tc>
      </w:tr>
    </w:tbl>
    <w:p>
      <w:pPr>
        <w:spacing w:after="0"/>
      </w:pPr>
    </w:p>
    <w:p>
      <w:r>
        <w:drawing>
          <wp:inline xmlns:a="http://schemas.openxmlformats.org/drawingml/2006/main" xmlns:pic="http://schemas.openxmlformats.org/drawingml/2006/picture">
            <wp:extent cx="5943600" cy="2149813"/>
            <wp:docPr id="2" name="Picture 2"/>
            <wp:cNvGraphicFramePr>
              <a:graphicFrameLocks noChangeAspect="1"/>
            </wp:cNvGraphicFramePr>
            <a:graphic>
              <a:graphicData uri="http://schemas.openxmlformats.org/drawingml/2006/picture">
                <pic:pic>
                  <pic:nvPicPr>
                    <pic:cNvPr id="0" name="subjects.png"/>
                    <pic:cNvPicPr/>
                  </pic:nvPicPr>
                  <pic:blipFill>
                    <a:blip r:embed="rId12"/>
                    <a:stretch>
                      <a:fillRect/>
                    </a:stretch>
                  </pic:blipFill>
                  <pic:spPr>
                    <a:xfrm>
                      <a:off x="0" y="0"/>
                      <a:ext cx="5943600" cy="2149813"/>
                    </a:xfrm>
                    <a:prstGeom prst="rect"/>
                  </pic:spPr>
                </pic:pic>
              </a:graphicData>
            </a:graphic>
          </wp:inline>
        </w:drawing>
      </w:r>
    </w:p>
    <w:p>
      <w:r>
        <w:rPr>
          <w:color w:val="555555"/>
          <w:sz w:val="18"/>
        </w:rPr>
        <w:t>그림 2. E02의 사람별 Macro F1. 각 사람의 세 seed를 모두 표시하였다.</w:t>
      </w:r>
    </w:p>
    <w:p>
      <w:r>
        <w:t>전체 창을 합쳐 계산한 Macro F1과 사람별 Macro F1의 단순 평균은 다른 집계다. 전자는 클래스별 F1을 전체 표본에서 구하고, 후자는 사람별 성능을 같은 비중으로 평균한다. 어느 값을 사용했는지 명시해야 한다.</w:t>
      </w:r>
    </w:p>
    <w:p>
      <w:r>
        <w:t>현재 사람별 결과는 검증 대상 5명의 차이를 드러내는 보조 분석이다. 시간 창을 독립 표본으로 취급한 신뢰구간을 제시하지 않았다. 새로운 사람에 대한 불확실성은 더 많은 사람 분할이나 그룹 교차검증으로 후속 확인해야 한다.</w:t>
      </w:r>
    </w:p>
    <w:p>
      <w:r>
        <w:rPr>
          <w:color w:val="555555"/>
          <w:sz w:val="18"/>
        </w:rPr>
        <w:t>각 검증 사람에게 6개 클래스가 모두 존재함을 함께 확인했다. 데이터: e02_by_subject.csv. 공식 test 사람은 분석에 포함하지 않는다.</w:t>
      </w:r>
    </w:p>
    <w:p>
      <w:pPr>
        <w:pStyle w:val="Heading1"/>
        <w:pageBreakBefore/>
      </w:pPr>
      <w:r>
        <w:t>16 조기 종료와 손실 순위의 차이</w:t>
      </w:r>
    </w:p>
    <w:tbl>
      <w:tblPr>
        <w:tblW w:type="auto" w:w="0"/>
        <w:jc w:val="center"/>
        <w:tblLayout w:type="fixed"/>
        <w:tblLook w:firstColumn="1" w:firstRow="1" w:lastColumn="0" w:lastRow="0" w:noHBand="0" w:noVBand="1" w:val="04A0"/>
      </w:tblPr>
      <w:tblGrid>
        <w:gridCol w:w="2232"/>
        <w:gridCol w:w="2448"/>
        <w:gridCol w:w="2592"/>
        <w:gridCol w:w="2894"/>
      </w:tblGrid>
      <w:tr>
        <w:trPr>
          <w:cantSplit/>
          <w:tblHeader/>
        </w:trPr>
        <w:tc>
          <w:tcPr>
            <w:tcW w:type="dxa" w:w="223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조건 seed</w:t>
            </w:r>
          </w:p>
        </w:tc>
        <w:tc>
          <w:tcPr>
            <w:tcW w:type="dxa" w:w="244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최선/실행 epoch</w:t>
            </w:r>
          </w:p>
        </w:tc>
        <w:tc>
          <w:tcPr>
            <w:tcW w:type="dxa" w:w="259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최소 val loss</w:t>
            </w:r>
          </w:p>
        </w:tc>
        <w:tc>
          <w:tcPr>
            <w:tcW w:type="dxa" w:w="289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Macro F1</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E02 2026</w:t>
            </w:r>
          </w:p>
        </w:tc>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2/8</w:t>
            </w:r>
          </w:p>
        </w:tc>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0.2847</w:t>
            </w:r>
          </w:p>
        </w:tc>
        <w:tc>
          <w:tcPr>
            <w:tcW w:type="dxa" w:w="289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0.9138</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E02 2027</w:t>
            </w:r>
          </w:p>
        </w:tc>
        <w:tc>
          <w:tcPr>
            <w:tcW w:type="dxa" w:w="244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4/10</w:t>
            </w:r>
          </w:p>
        </w:tc>
        <w:tc>
          <w:tcPr>
            <w:tcW w:type="dxa" w:w="259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0.4349</w:t>
            </w:r>
          </w:p>
        </w:tc>
        <w:tc>
          <w:tcPr>
            <w:tcW w:type="dxa" w:w="289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0.8906</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E02 2028</w:t>
            </w:r>
          </w:p>
        </w:tc>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2/8</w:t>
            </w:r>
          </w:p>
        </w:tc>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0.3068</w:t>
            </w:r>
          </w:p>
        </w:tc>
        <w:tc>
          <w:tcPr>
            <w:tcW w:type="dxa" w:w="289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0.9094</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E07 2026</w:t>
            </w:r>
          </w:p>
        </w:tc>
        <w:tc>
          <w:tcPr>
            <w:tcW w:type="dxa" w:w="244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2/8</w:t>
            </w:r>
          </w:p>
        </w:tc>
        <w:tc>
          <w:tcPr>
            <w:tcW w:type="dxa" w:w="259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0.2651</w:t>
            </w:r>
          </w:p>
        </w:tc>
        <w:tc>
          <w:tcPr>
            <w:tcW w:type="dxa" w:w="289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0.8864</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E07 2027</w:t>
            </w:r>
          </w:p>
        </w:tc>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8/14</w:t>
            </w:r>
          </w:p>
        </w:tc>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0.3314</w:t>
            </w:r>
          </w:p>
        </w:tc>
        <w:tc>
          <w:tcPr>
            <w:tcW w:type="dxa" w:w="289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0.9056</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E07 2028</w:t>
            </w:r>
          </w:p>
        </w:tc>
        <w:tc>
          <w:tcPr>
            <w:tcW w:type="dxa" w:w="244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9/15</w:t>
            </w:r>
          </w:p>
        </w:tc>
        <w:tc>
          <w:tcPr>
            <w:tcW w:type="dxa" w:w="259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0.2821</w:t>
            </w:r>
          </w:p>
        </w:tc>
        <w:tc>
          <w:tcPr>
            <w:tcW w:type="dxa" w:w="289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0.9182</w:t>
            </w:r>
          </w:p>
        </w:tc>
      </w:tr>
    </w:tbl>
    <w:p>
      <w:pPr>
        <w:spacing w:after="0"/>
      </w:pPr>
    </w:p>
    <w:p>
      <w:r>
        <w:t>seed 2026의 E02는 epoch 2의 검증 손실이 최소였고, 이후 6개 epoch에서 개선되지 않아 epoch 8에 종료했다. “종료 epoch”와 “선택 epoch”는 다르다. 최종 평가와 모델 저장은 복원한 최선 가중치로 수행했다.</w:t>
      </w:r>
    </w:p>
    <w:p>
      <w:pPr>
        <w:pStyle w:val="Heading2"/>
      </w:pPr>
      <w:r>
        <w:t>손실이 더 낮은데 F1은 낮을 수 있는가</w:t>
      </w:r>
    </w:p>
    <w:p>
      <w:r>
        <w:t>E07 seed 2026의 검증 손실 0.2651은 E02의 0.2847보다 작지만 Macro F1은 더 낮다. 교차엔트로피는 정답 확률의 로그를 평가하고 F1은 argmax 예측의 정밀도·재현율을 평가한다. 두 지표는 같은 대상을 같은 방식으로 측정하지 않는다.</w:t>
      </w:r>
    </w:p>
    <w:p>
      <w:pPr>
        <w:pStyle w:val="Heading2"/>
      </w:pPr>
      <w:r>
        <w:t>왜 F1으로 epoch를 고르지 않았는가</w:t>
      </w:r>
    </w:p>
    <w:p>
      <w:r>
        <w:t>처음 정한 val_loss 선택 규칙을 반복 실험에도 유지했다. 결과를 보고 각 실행마다 유리한 지표로 선택 기준을 바꾸지 않았다. F1을 기준으로 선택하는 정책을 비교하려면 그 규칙을 별도 조건으로 정의하고 같은 범위의 실험을 수행해야 한다.</w:t>
      </w:r>
    </w:p>
    <w:p>
      <w:r>
        <w:rPr>
          <w:color w:val="555555"/>
          <w:sz w:val="18"/>
        </w:rPr>
        <w:t>표는 history.csv와 metrics.json에서 생성했다. Keras EarlyStopping의 restore_best_weights는 최선 모델 가중치를 복원한다. 옵티마이저까지 해당 epoch로 복원하는 체크포인트와 구분한다. [3]</w:t>
      </w:r>
    </w:p>
    <w:p>
      <w:pPr>
        <w:pStyle w:val="Heading1"/>
        <w:pageBreakBefore/>
      </w:pPr>
      <w:r>
        <w:t>17 재학습 재현과 저장물 재로딩</w:t>
      </w:r>
    </w:p>
    <w:tbl>
      <w:tblPr>
        <w:tblW w:type="auto" w:w="0"/>
        <w:jc w:val="center"/>
        <w:tblLayout w:type="fixed"/>
        <w:tblLook w:firstColumn="1" w:firstRow="1" w:lastColumn="0" w:lastRow="0" w:noHBand="0" w:noVBand="1" w:val="04A0"/>
      </w:tblPr>
      <w:tblGrid>
        <w:gridCol w:w="2304"/>
        <w:gridCol w:w="3744"/>
        <w:gridCol w:w="4118"/>
      </w:tblGrid>
      <w:tr>
        <w:trPr>
          <w:cantSplit/>
          <w:tblHeader/>
        </w:trPr>
        <w:tc>
          <w:tcPr>
            <w:tcW w:type="dxa" w:w="230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검사</w:t>
            </w:r>
          </w:p>
        </w:tc>
        <w:tc>
          <w:tcPr>
            <w:tcW w:type="dxa" w:w="374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대상</w:t>
            </w:r>
          </w:p>
        </w:tc>
        <w:tc>
          <w:tcPr>
            <w:tcW w:type="dxa" w:w="411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확인 결과</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수정 전후 재학습</w:t>
            </w:r>
          </w:p>
        </w:tc>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seed 2026, 7조건 × 1,775개</w:t>
            </w:r>
          </w:p>
        </w:tc>
        <w:tc>
          <w:tcPr>
            <w:tcW w:type="dxa" w:w="411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이전 예측과 클래스·확률 완전 일치</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새 저장물 재로딩</w:t>
            </w:r>
          </w:p>
        </w:tc>
        <w:tc>
          <w:tcPr>
            <w:tcW w:type="dxa" w:w="374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새 학습 24개 모델</w:t>
            </w:r>
          </w:p>
        </w:tc>
        <w:tc>
          <w:tcPr>
            <w:tcW w:type="dxa" w:w="411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원본 검증 입력에서 전체 예측 재계산</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전처리·모델 식별</w:t>
            </w:r>
          </w:p>
        </w:tc>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각 실행의 SHA-256</w:t>
            </w:r>
          </w:p>
        </w:tc>
        <w:tc>
          <w:tcPr>
            <w:tcW w:type="dxa" w:w="411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저장 파일과 메타데이터 해시 확인</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코드 식별</w:t>
            </w:r>
          </w:p>
        </w:tc>
        <w:tc>
          <w:tcPr>
            <w:tcW w:type="dxa" w:w="374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24실행의 학습 코드 해시</w:t>
            </w:r>
          </w:p>
        </w:tc>
        <w:tc>
          <w:tcPr>
            <w:tcW w:type="dxa" w:w="411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동일 src·configs·scripts 바이트 해시</w:t>
            </w:r>
          </w:p>
        </w:tc>
      </w:tr>
    </w:tbl>
    <w:p>
      <w:pPr>
        <w:spacing w:after="0"/>
      </w:pPr>
    </w:p>
    <w:p>
      <w:r>
        <w:t>재학습 재현은 같은 seed와 정상 입력에서 수정 전후 결과가 변하지 않았는지를 확인한다. 재로딩 재현은 저장한 전처리와 모델이 같은 검증 예측을 만드는지를 확인한다. 두 검사는 서로 다른 실패 가능성을 다룬다.</w:t>
      </w:r>
    </w:p>
    <w:p>
      <w:pPr>
        <w:pStyle w:val="Heading2"/>
      </w:pPr>
      <w:r>
        <w:t>정확히 보존한 범위</w:t>
      </w:r>
    </w:p>
    <w:p>
      <w:r>
        <w:t>전처리 통계·PCA, 모델 파일, 설정, 표본 ID와 사람 분할, epoch 로그, 표본별 예측을 실행 묶음으로 저장했다. 새로 학습한 모델은 runs/process_repeats와 runs/process_matched로 구분하여 원래 runs/formal을 덮어쓰지 않았다.</w:t>
      </w:r>
    </w:p>
    <w:p>
      <w:pPr>
        <w:pStyle w:val="Heading2"/>
      </w:pPr>
      <w:r>
        <w:t>저장 모델의 한계</w:t>
      </w:r>
    </w:p>
    <w:p>
      <w:r>
        <w:t>현재 저장물은 compile=False로 불러 추론·평가하는 용도다. 조기 종료에서 복원한 최선 가중치와 옵티마이저의 마지막 상태는 같은 epoch가 아닐 수 있으므로 정확한 학습 재개를 보장하지 않는다. 이를 해결하려면 최선 시점의 전체 모델·옵티마이저를 함께 저장하고 재개 후 다음 스텝까지 별도로 비교해야 한다.</w:t>
      </w:r>
    </w:p>
    <w:p>
      <w:r>
        <w:rPr>
          <w:color w:val="555555"/>
          <w:sz w:val="18"/>
        </w:rPr>
        <w:t>재학습 대조: summary.json의 original_seed_replay. 새 프로세스 재로딩: reload_repeats.json 및 reload_matched.json. 현재 장치와 라이브러리 환경에서 확인한 결과다.</w:t>
      </w:r>
    </w:p>
    <w:p>
      <w:pPr>
        <w:pStyle w:val="Heading1"/>
        <w:pageBreakBefore/>
      </w:pPr>
      <w:r>
        <w:t>18 제거한 약점과 남아 있는 한계</w:t>
      </w:r>
    </w:p>
    <w:tbl>
      <w:tblPr>
        <w:tblW w:type="auto" w:w="0"/>
        <w:jc w:val="center"/>
        <w:tblLayout w:type="fixed"/>
        <w:tblLook w:firstColumn="1" w:firstRow="1" w:lastColumn="0" w:lastRow="0" w:noHBand="0" w:noVBand="1" w:val="04A0"/>
      </w:tblPr>
      <w:tblGrid>
        <w:gridCol w:w="2376"/>
        <w:gridCol w:w="3816"/>
        <w:gridCol w:w="3974"/>
      </w:tblGrid>
      <w:tr>
        <w:trPr>
          <w:cantSplit/>
          <w:tblHeader/>
        </w:trPr>
        <w:tc>
          <w:tcPr>
            <w:tcW w:type="dxa" w:w="237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쟁점</w:t>
            </w:r>
          </w:p>
        </w:tc>
        <w:tc>
          <w:tcPr>
            <w:tcW w:type="dxa" w:w="381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이번에 보강한 근거</w:t>
            </w:r>
          </w:p>
        </w:tc>
        <w:tc>
          <w:tcPr>
            <w:tcW w:type="dxa" w:w="397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여전히 남는 범위</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분할 번호 오류</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정수·범위·중복 검사</w:t>
            </w:r>
          </w:p>
        </w:tc>
        <w:tc>
          <w:tcPr>
            <w:tcW w:type="dxa" w:w="397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외부 원본 ID의 의미적 진실성</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원본과 모델 입력 불일치</w:t>
            </w:r>
          </w:p>
        </w:tc>
        <w:tc>
          <w:tcPr>
            <w:tcW w:type="dxa" w:w="381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전처리 재적용 비교</w:t>
            </w:r>
          </w:p>
        </w:tc>
        <w:tc>
          <w:tcPr>
            <w:tcW w:type="dxa" w:w="397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두 자료가 함께 잘못된 경우</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단일 seed의 우연</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7조건 × 3seed</w:t>
            </w:r>
          </w:p>
        </w:tc>
        <w:tc>
          <w:tcPr>
            <w:tcW w:type="dxa" w:w="397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seed 3개 및 고정된 사람 5명</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Dropout 초기값 혼동</w:t>
            </w:r>
          </w:p>
        </w:tc>
        <w:tc>
          <w:tcPr>
            <w:tcW w:type="dxa" w:w="381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가중치 일치 대조 3회</w:t>
            </w:r>
          </w:p>
        </w:tc>
        <w:tc>
          <w:tcPr>
            <w:tcW w:type="dxa" w:w="397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Dropout 비율·모델 구조 일반화</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수학 검증 범위</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ReLU 46파라미터 138검사</w:t>
            </w:r>
          </w:p>
        </w:tc>
        <w:tc>
          <w:tcPr>
            <w:tcW w:type="dxa" w:w="397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전체 모델의 모든 입력·비미분점</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모델 전달 실패</w:t>
            </w:r>
          </w:p>
        </w:tc>
        <w:tc>
          <w:tcPr>
            <w:tcW w:type="dxa" w:w="381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24모델 재로딩 검사</w:t>
            </w:r>
          </w:p>
        </w:tc>
        <w:tc>
          <w:tcPr>
            <w:tcW w:type="dxa" w:w="397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다른 장치·실제 시연·학습 재개</w:t>
            </w:r>
          </w:p>
        </w:tc>
      </w:tr>
    </w:tbl>
    <w:p>
      <w:pPr>
        <w:spacing w:after="0"/>
      </w:pPr>
    </w:p>
    <w:p>
      <w:r>
        <w:t>비판할 부분을 숨기는 대신 어떤 주장에 어떤 증거가 대응하는지를 정리하였다. 예를 들어 “모든 오류를 없앴다”는 결론은 테스트로 입증할 수 없다. “정의한 잘못된 분할과 정렬 입력을 학습 전에 거부하고 정상 UCI 재학습 결과를 유지했다”는 결론은 현재 증거로 뒷받침할 수 있다.</w:t>
      </w:r>
    </w:p>
    <w:p>
      <w:pPr>
        <w:pStyle w:val="Heading2"/>
      </w:pPr>
      <w:r>
        <w:t>후속 실험의 우선순위</w:t>
      </w:r>
    </w:p>
    <w:p>
      <w:r>
        <w:t>① 팀 공식 전처리의 ID·채널·수치 대조, ③ 실제 비교 모델 연결, ④ 반복 사람 분할 및 최종 시험 평가, ⑤ 실제 추론 경로·장치 지연 시간 검증으로 이어간다. 현재의 저장물 검사와 인터페이스 준비를 실제 팀 통합 완료로 표현하지 않는다.</w:t>
      </w:r>
    </w:p>
    <w:p>
      <w:r>
        <w:rPr>
          <w:color w:val="555555"/>
          <w:sz w:val="18"/>
        </w:rPr>
        <w:t>이 보고서의 목적은 반론을 원천 봉쇄하는 것이 아니라 반론에 답할 검증 근거와 결론의 경계를 명확히 하는 것이다.</w:t>
      </w:r>
    </w:p>
    <w:p>
      <w:pPr>
        <w:pStyle w:val="Heading1"/>
        <w:pageBreakBefore/>
      </w:pPr>
      <w:r>
        <w:t>19 발표에서 짚고 넘어갈 질문</w:t>
      </w:r>
    </w:p>
    <w:tbl>
      <w:tblPr>
        <w:tblW w:type="auto" w:w="0"/>
        <w:jc w:val="center"/>
        <w:tblLayout w:type="fixed"/>
        <w:tblLook w:firstColumn="1" w:firstRow="1" w:lastColumn="0" w:lastRow="0" w:noHBand="0" w:noVBand="1" w:val="04A0"/>
      </w:tblPr>
      <w:tblGrid>
        <w:gridCol w:w="3744"/>
        <w:gridCol w:w="6422"/>
      </w:tblGrid>
      <w:tr>
        <w:trPr>
          <w:cantSplit/>
          <w:tblHeader/>
        </w:trPr>
        <w:tc>
          <w:tcPr>
            <w:tcW w:type="dxa" w:w="374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질문</w:t>
            </w:r>
          </w:p>
        </w:tc>
        <w:tc>
          <w:tcPr>
            <w:tcW w:type="dxa" w:w="642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답변의 핵심과 근거</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같은 seed면 초기값도 같은가?</w:t>
            </w:r>
          </w:p>
        </w:tc>
        <w:tc>
          <w:tcPr>
            <w:tcW w:type="dxa" w:w="642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구조 변경 시 그렇지 않았다. Dense 배열을 비교하고 E08W에서 복사·동일성을 확인했다.</w:t>
            </w:r>
          </w:p>
        </w:tc>
      </w:tr>
      <w:tr>
        <w:trPr>
          <w:cantSplit/>
        </w:trPr>
        <w:tc>
          <w:tcPr>
            <w:tcW w:type="dxa" w:w="374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ReLU 수치미분 0.5, 자동미분 0이면 버그인가?</w:t>
            </w:r>
          </w:p>
        </w:tc>
        <w:tc>
          <w:tcPr>
            <w:tcW w:type="dxa" w:w="642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0은 비미분점이다. 중심차분과 선택한 subgradient의 차이를 검사 실패와 구분한다.</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softmax 확률이 유한하면 로그 손실도 안전한가?</w:t>
            </w:r>
          </w:p>
        </w:tc>
        <w:tc>
          <w:tcPr>
            <w:tcW w:type="dxa" w:w="642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아니다. 정답 확률이 0으로 underflow될 수 있다. logits의 logsumexp 손실을 사용한다.</w:t>
            </w:r>
          </w:p>
        </w:tc>
      </w:tr>
      <w:tr>
        <w:trPr>
          <w:cantSplit/>
        </w:trPr>
        <w:tc>
          <w:tcPr>
            <w:tcW w:type="dxa" w:w="374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24개 테스트가 모든 버그가 없다는 증거인가?</w:t>
            </w:r>
          </w:p>
        </w:tc>
        <w:tc>
          <w:tcPr>
            <w:tcW w:type="dxa" w:w="642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정의한 입력과 경계 경로에서의 검사다. 원본 의미·모든 환경까지 증명하지 않는다.</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3seed 평균이 다른 사람에서도 좋은가?</w:t>
            </w:r>
          </w:p>
        </w:tc>
        <w:tc>
          <w:tcPr>
            <w:tcW w:type="dxa" w:w="642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현재 분할의 학습 변동만 본 것이다. 새 사람 분할의 일반화는 추가 평가가 필요하다.</w:t>
            </w:r>
          </w:p>
        </w:tc>
      </w:tr>
      <w:tr>
        <w:trPr>
          <w:cantSplit/>
        </w:trPr>
        <w:tc>
          <w:tcPr>
            <w:tcW w:type="dxa" w:w="374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수정한 뒤 과거 점수를 그대로 쓴 것 아닌가?</w:t>
            </w:r>
          </w:p>
        </w:tc>
        <w:tc>
          <w:tcPr>
            <w:tcW w:type="dxa" w:w="642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seed 2026의 7조건을 재학습해 1,775개 예측을 각각 원본 기록과 대조했다.</w:t>
            </w:r>
          </w:p>
        </w:tc>
      </w:tr>
    </w:tbl>
    <w:p>
      <w:pPr>
        <w:spacing w:after="0"/>
      </w:pPr>
    </w:p>
    <w:p>
      <w:r>
        <w:t>질문을 유도할 때에는 표나 문장을 일부러 틀리게 쓰지 않는다. 예를 들어 “seed는 같게 고정했습니다. 다만 이것만으로 초기값도 같을까요?”를 먼저 묻고, 실제 초기값 비교와 대조 실험을 보여 주면 검증 과정 자체가 설명의 중심이 된다.</w:t>
      </w:r>
    </w:p>
    <w:p>
      <w:r>
        <w:t>답변은 주장 → 근거 파일 또는 수치 → 적용 범위 순으로 한다. 모르는 질문에는 현재 검증하지 않은 범위를 밝히고 어떤 추가 실험으로 답할지 제안한다. 하지 않은 실험을 했다고 답하는 것보다 자료와 결론을 일치시키는 편이 방어력이 높다.</w:t>
      </w:r>
    </w:p>
    <w:p>
      <w:r>
        <w:rPr>
          <w:color w:val="555555"/>
          <w:sz w:val="18"/>
        </w:rPr>
        <w:t>별도 DEFENSE_QA_KO.md에는 수학·코드·실험·재현·협업 질문에 대한 확장 답변과 말하면 안 되는 과장 표현을 정리했다.</w:t>
      </w:r>
    </w:p>
    <w:p>
      <w:pPr>
        <w:pStyle w:val="Heading1"/>
        <w:pageBreakBefore/>
      </w:pPr>
      <w:r>
        <w:t>20 재현 명령과 참고자료</w:t>
      </w:r>
    </w:p>
    <w:p>
      <w:r>
        <w:t>기존 실행 안내로 환경과 UCI 자료를 준비한 다음, 저장소 루트에서 아래 모듈을 실행한다. 기록된 실행 폴더는 덮어쓰지 않으므로 새 작업 복사본이나 새로운 출력 경로를 사용한다. 21회 반복 스크립트의 데이터 경로는 인자로 명시할 수 있다.</w:t>
      </w:r>
    </w:p>
    <w:tbl>
      <w:tblPr>
        <w:tblW w:type="auto" w:w="0"/>
        <w:jc w:val="center"/>
        <w:tblLayout w:type="fixed"/>
        <w:tblLook w:firstColumn="1" w:firstRow="1" w:lastColumn="0" w:lastRow="0" w:noHBand="0" w:noVBand="1" w:val="04A0"/>
      </w:tblPr>
      <w:tblGrid>
        <w:gridCol w:w="2016"/>
        <w:gridCol w:w="8150"/>
      </w:tblGrid>
      <w:tr>
        <w:trPr>
          <w:cantSplit/>
          <w:tblHeader/>
        </w:trPr>
        <w:tc>
          <w:tcPr>
            <w:tcW w:type="dxa" w:w="201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목적</w:t>
            </w:r>
          </w:p>
        </w:tc>
        <w:tc>
          <w:tcPr>
            <w:tcW w:type="dxa" w:w="815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실행 진입점</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전체 회귀 검사</w:t>
            </w:r>
          </w:p>
        </w:tc>
        <w:tc>
          <w:tcPr>
            <w:tcW w:type="dxa" w:w="815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python -m pytest tests -q</w:t>
            </w:r>
          </w:p>
        </w:tc>
      </w:tr>
      <w:tr>
        <w:trPr>
          <w:cantSplit/>
        </w:trPr>
        <w:tc>
          <w:tcPr>
            <w:tcW w:type="dxa" w:w="201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입력 계약 대조</w:t>
            </w:r>
          </w:p>
        </w:tc>
        <w:tc>
          <w:tcPr>
            <w:tcW w:type="dxa" w:w="815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python analysis/process_audit/contract_probe.py --phase after --output &lt;JSON 경로&gt;</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수학 대조</w:t>
            </w:r>
          </w:p>
        </w:tc>
        <w:tc>
          <w:tcPr>
            <w:tcW w:type="dxa" w:w="815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python analysis/process_audit/math_controls.py</w:t>
            </w:r>
          </w:p>
        </w:tc>
      </w:tr>
      <w:tr>
        <w:trPr>
          <w:cantSplit/>
        </w:trPr>
        <w:tc>
          <w:tcPr>
            <w:tcW w:type="dxa" w:w="201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7조건 반복</w:t>
            </w:r>
          </w:p>
        </w:tc>
        <w:tc>
          <w:tcPr>
            <w:tcW w:type="dxa" w:w="815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python analysis/process_audit/run_repeats.py &lt;UCI HAR Dataset 경로&gt;</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초기값 대조</w:t>
            </w:r>
          </w:p>
        </w:tc>
        <w:tc>
          <w:tcPr>
            <w:tcW w:type="dxa" w:w="815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python analysis/process_audit/run_matched_dropout.py --seed 2026 --data-root &lt;자료 경로&gt;</w:t>
            </w:r>
          </w:p>
        </w:tc>
      </w:tr>
      <w:tr>
        <w:trPr>
          <w:cantSplit/>
        </w:trPr>
        <w:tc>
          <w:tcPr>
            <w:tcW w:type="dxa" w:w="201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수치 집계</w:t>
            </w:r>
          </w:p>
        </w:tc>
        <w:tc>
          <w:tcPr>
            <w:tcW w:type="dxa" w:w="815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python analysis/process_audit/summarize.py</w:t>
            </w:r>
          </w:p>
        </w:tc>
      </w:tr>
    </w:tbl>
    <w:p>
      <w:pPr>
        <w:spacing w:after="0"/>
      </w:pPr>
    </w:p>
    <w:p>
      <w:r>
        <w:t>재현 환경은 Python 3.11.9, TensorFlow 2.21.0, Keras 3.15.1, NumPy 2.2.6, scikit-learn 1.7.2이다. 스레드·seed·결정적 연산 설정을 기록하고 oneDNN을 비활성화했다. 현재 환경에서 얻은 일치를 모든 하드웨어의 비트 단위 일치로 일반화하지 않는다.</w:t>
      </w:r>
    </w:p>
    <w:p>
      <w:pPr>
        <w:pStyle w:val="Heading2"/>
      </w:pPr>
      <w:r>
        <w:t>참고자료</w:t>
      </w:r>
    </w:p>
    <w:p>
      <w:r>
        <w:rPr>
          <w:color w:val="555555"/>
          <w:sz w:val="18"/>
        </w:rPr>
        <w:t>[1] UCI Human Activity Recognition Using Smartphones, DOI 10.24432/C54S4K. https://archive.ics.uci.edu/dataset/240/human+activity+recognition+using+smartphones</w:t>
      </w:r>
    </w:p>
    <w:p>
      <w:r>
        <w:rPr>
          <w:color w:val="555555"/>
          <w:sz w:val="18"/>
        </w:rPr>
        <w:t>[2] TensorFlow, softmax_cross_entropy_with_logits 및 자동미분 안내. https://www.tensorflow.org/api_docs/python/tf/nn/softmax_cross_entropy_with_logits · https://www.tensorflow.org/guide/autodiff</w:t>
      </w:r>
    </w:p>
    <w:p>
      <w:r>
        <w:rPr>
          <w:color w:val="555555"/>
          <w:sz w:val="18"/>
        </w:rPr>
        <w:t>[3] Keras, EarlyStopping. https://keras.io/api/callbacks/early_stopping/</w:t>
      </w:r>
    </w:p>
    <w:p>
      <w:r>
        <w:rPr>
          <w:color w:val="555555"/>
          <w:sz w:val="18"/>
        </w:rPr>
        <w:t>[4] 프로젝트 소스와 실제 실행 근거. https://github.com/kara320090/smartphone-har · reports/process_audit/</w:t>
      </w:r>
    </w:p>
    <w:p>
      <w:r>
        <w:rPr>
          <w:color w:val="555555"/>
          <w:sz w:val="18"/>
        </w:rPr>
        <w:t>[5] 제공된 스마트폰 행동인식 10주 상세계획서 및 역할표. 담당 범위의 근거로 사용하였다.</w:t>
      </w:r>
    </w:p>
    <w:sectPr w:rsidR="00FC693F" w:rsidRPr="0006063C" w:rsidSect="00034616">
      <w:headerReference w:type="default" r:id="rId9"/>
      <w:footerReference w:type="default" r:id="rId10"/>
      <w:pgSz w:w="12240" w:h="15840"/>
      <w:pgMar w:top="979"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center"/>
    </w:pPr>
    <w:r>
      <w:rPr>
        <w:sz w:val="16"/>
      </w:rPr>
      <w:t xml:space="preserve">이봉헌 구현 과정 심화 보고서  ·  </w:t>
    </w:r>
    <w:r>
      <w:rPr>
        <w:sz w:val="16"/>
      </w:rPr>
      <w:fldChar w:fldCharType="begin"/>
    </w:r>
    <w:r>
      <w:rPr>
        <w:sz w:val="16"/>
      </w:rPr>
      <w:instrText> PAGE </w:instrText>
    </w:r>
    <w:r>
      <w:rPr>
        <w:sz w:val="16"/>
      </w:rPr>
      <w:fldChar w:fldCharType="separate"/>
    </w:r>
    <w:r>
      <w:rPr>
        <w:sz w:val="16"/>
      </w:rPr>
      <w:t>1</w: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스마트폰 행동 인식  |  이봉헌 개인 담당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Malgun Gothic" w:hAnsi="Malgun Gothic"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60"/>
      <w:outlineLvl w:val="0"/>
    </w:pPr>
    <w:rPr>
      <w:rFonts w:asciiTheme="majorHAnsi" w:eastAsiaTheme="majorEastAsia" w:hAnsiTheme="majorHAnsi" w:cstheme="majorBidi" w:ascii="Malgun Gothic" w:hAnsi="Malgun Gothic" w:eastAsia="맑은 고딕"/>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Malgun Gothic" w:hAnsi="Malgun Gothic"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맑은 고딕"/>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스마트폰 행동 인식 구현 과정 심화 보고서</dc:title>
  <dc:subject>담당 ② MLP 구현 역전파 검증 공통 학습 조건 비교</dc:subject>
  <dc:creator>이봉헌</dc:creator>
  <cp:keywords/>
  <dc:description>generated by python-docx</dc:description>
  <cp:lastModifiedBy/>
  <cp:revision>1</cp:revision>
  <dcterms:created xsi:type="dcterms:W3CDTF">2013-12-23T23:15:00Z</dcterms:created>
  <dcterms:modified xsi:type="dcterms:W3CDTF">2013-12-23T23:15:00Z</dcterms:modified>
  <cp:category/>
</cp:coreProperties>
</file>