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Baskerville" w:hAnsi="Baskerville" w:cs="Baskerville"/>
          <w:sz w:val="36"/>
          <w:sz-cs w:val="36"/>
          <w:spacing w:val="0"/>
          <w:color w:val="493420"/>
        </w:rPr>
        <w:t xml:space="preserve">Si Do ve Re notalarını basarken parmaklarımızın dik olduğundan emin olalım. İki perde demirinin tam ortasına basalım. Parmaklarımızı perdeden acele olarak çekmeyelim. </w:t>
      </w:r>
      <w:r>
        <w:rPr>
          <w:rFonts w:ascii="Times" w:hAnsi="Times" w:cs="Times"/>
          <w:sz w:val="26"/>
          <w:sz-cs w:val="26"/>
          <w:spacing w:val="0"/>
        </w:rPr>
        <w:t xml:space="preserve"/>
      </w:r>
    </w:p>
    <w:sectPr>
      <w:pgSz w:w="11905" w:h="16837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CocoaOOXMLWriter/1348.17</generator>
</meta>
</file>