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jc w:val="center"/>
      </w:pPr>
      <w:r>
        <w:rPr>
          <w:rFonts w:ascii="Times New Roman" w:cs="Times New Roman" w:eastAsia="Times New Roman" w:hAnsi="Times New Roman"/>
          <w:b/>
          <w:bCs/>
          <w:sz w:val="26"/>
          <w:szCs w:val="26"/>
        </w:rPr>
        <w:t xml:space="preserve">MARKA, ALAN ADI VE TÜRKİYE TEMSİL YETKİSİ</w:t>
      </w:r>
    </w:p>
    <w:p>
      <w:pPr>
        <w:spacing w:after="160" w:line="240"/>
        <w:jc w:val="center"/>
      </w:pPr>
      <w:r>
        <w:rPr>
          <w:rFonts w:ascii="Times New Roman" w:cs="Times New Roman" w:eastAsia="Times New Roman" w:hAnsi="Times New Roman"/>
          <w:b/>
          <w:bCs/>
          <w:sz w:val="26"/>
          <w:szCs w:val="26"/>
        </w:rPr>
        <w:t xml:space="preserve">ÇERÇEVE SÖZLEŞMESİ</w:t>
      </w:r>
    </w:p>
    <w:tbl>
      <w:tblPr>
        <w:tblW w:type="dxa" w:w="9000"/>
        <w:tblBorders>
          <w:top w:val="single" w:color="808080" w:sz="4"/>
          <w:left w:val="single" w:color="808080" w:sz="4"/>
          <w:bottom w:val="single" w:color="808080" w:sz="4"/>
          <w:right w:val="single" w:color="808080" w:sz="4"/>
          <w:insideH w:val="single" w:color="BFBFBF" w:sz="4"/>
          <w:insideV w:val="single" w:color="BFBFBF" w:sz="4"/>
        </w:tblBorders>
      </w:tblPr>
      <w:tblGrid>
        <w:gridCol w:w="2300"/>
        <w:gridCol w:w="6700"/>
      </w:tblGrid>
      <w:tr>
        <w:tc>
          <w:tcPr>
            <w:tcW w:type="dxa" w:w="2300"/>
            <w:shd w:fill="EEEEEE" w:color="auto" w:val="clear"/>
            <w:tcMar>
              <w:top w:type="dxa" w:w="60"/>
              <w:left w:type="dxa" w:w="100"/>
              <w:bottom w:type="dxa" w:w="60"/>
              <w:right w:type="dxa" w:w="100"/>
            </w:tcMar>
          </w:tcPr>
          <w:p>
            <w:pPr>
              <w:spacing w:after="0" w:line="220"/>
              <w:jc w:val="left"/>
            </w:pPr>
            <w:r>
              <w:rPr>
                <w:rFonts w:ascii="Times New Roman" w:cs="Times New Roman" w:eastAsia="Times New Roman" w:hAnsi="Times New Roman"/>
                <w:b/>
                <w:bCs/>
                <w:sz w:val="21"/>
                <w:szCs w:val="21"/>
              </w:rPr>
              <w:t xml:space="preserve">HAK SAHİBİ / LİSANS VEREN</w:t>
            </w:r>
          </w:p>
        </w:tc>
        <w:tc>
          <w:tcPr>
            <w:tcW w:type="dxa" w:w="6700"/>
            <w:tcMar>
              <w:top w:type="dxa" w:w="60"/>
              <w:left w:type="dxa" w:w="100"/>
              <w:bottom w:type="dxa" w:w="60"/>
              <w:right w:type="dxa" w:w="100"/>
            </w:tcMar>
          </w:tcPr>
          <w:p>
            <w:pPr>
              <w:spacing w:after="0" w:line="220"/>
              <w:jc w:val="left"/>
            </w:pPr>
            <w:r>
              <w:rPr>
                <w:rFonts w:ascii="Times New Roman" w:cs="Times New Roman" w:eastAsia="Times New Roman" w:hAnsi="Times New Roman"/>
                <w:b/>
                <w:bCs/>
                <w:sz w:val="21"/>
                <w:szCs w:val="21"/>
              </w:rPr>
              <w:t xml:space="preserve">i stoc limited company  (kısaca “i stoc”)</w:t>
            </w:r>
          </w:p>
        </w:tc>
      </w:tr>
      <w:tr>
        <w:tc>
          <w:tcPr>
            <w:tcW w:type="dxa" w:w="23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Kuruluş / Sicil</w:t>
            </w:r>
          </w:p>
        </w:tc>
        <w:tc>
          <w:tcPr>
            <w:tcW w:type="dxa" w:w="67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İngiltere ve Galler hukukuna göre kurulu limited şirket — Companies House Şirket No: [__________]</w:t>
            </w:r>
          </w:p>
        </w:tc>
      </w:tr>
      <w:tr>
        <w:tc>
          <w:tcPr>
            <w:tcW w:type="dxa" w:w="23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Kayıtlı Adres</w:t>
            </w:r>
          </w:p>
        </w:tc>
        <w:tc>
          <w:tcPr>
            <w:tcW w:type="dxa" w:w="67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[______________________________________________], Birleşik Krallık</w:t>
            </w:r>
          </w:p>
        </w:tc>
      </w:tr>
      <w:tr>
        <w:tc>
          <w:tcPr>
            <w:tcW w:type="dxa" w:w="23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Temsile Yetkili</w:t>
            </w:r>
          </w:p>
        </w:tc>
        <w:tc>
          <w:tcPr>
            <w:tcW w:type="dxa" w:w="67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[__________________] (Director)   ·   E-posta: [__________________]</w:t>
            </w:r>
          </w:p>
        </w:tc>
      </w:tr>
      <w:tr>
        <w:tc>
          <w:tcPr>
            <w:tcW w:type="dxa" w:w="2300"/>
            <w:shd w:fill="EEEEEE" w:color="auto" w:val="clear"/>
            <w:tcMar>
              <w:top w:type="dxa" w:w="60"/>
              <w:left w:type="dxa" w:w="100"/>
              <w:bottom w:type="dxa" w:w="60"/>
              <w:right w:type="dxa" w:w="100"/>
            </w:tcMar>
          </w:tcPr>
          <w:p>
            <w:pPr>
              <w:spacing w:after="0" w:line="220"/>
              <w:jc w:val="left"/>
            </w:pPr>
            <w:r>
              <w:rPr>
                <w:rFonts w:ascii="Times New Roman" w:cs="Times New Roman" w:eastAsia="Times New Roman" w:hAnsi="Times New Roman"/>
                <w:b/>
                <w:bCs/>
                <w:sz w:val="21"/>
                <w:szCs w:val="21"/>
              </w:rPr>
              <w:t xml:space="preserve">TEMSİLCİ</w:t>
            </w:r>
          </w:p>
        </w:tc>
        <w:tc>
          <w:tcPr>
            <w:tcW w:type="dxa" w:w="6700"/>
            <w:tcMar>
              <w:top w:type="dxa" w:w="60"/>
              <w:left w:type="dxa" w:w="100"/>
              <w:bottom w:type="dxa" w:w="60"/>
              <w:right w:type="dxa" w:w="100"/>
            </w:tcMar>
          </w:tcPr>
          <w:p>
            <w:pPr>
              <w:spacing w:after="0" w:line="220"/>
              <w:jc w:val="left"/>
            </w:pPr>
            <w:r>
              <w:rPr>
                <w:rFonts w:ascii="Times New Roman" w:cs="Times New Roman" w:eastAsia="Times New Roman" w:hAnsi="Times New Roman"/>
                <w:b/>
                <w:bCs/>
                <w:sz w:val="21"/>
                <w:szCs w:val="21"/>
              </w:rPr>
              <w:t xml:space="preserve">Mogem Elektronik Ticaret Limited Şirketi  (kısaca “MOGEM”)</w:t>
            </w:r>
          </w:p>
        </w:tc>
      </w:tr>
      <w:tr>
        <w:tc>
          <w:tcPr>
            <w:tcW w:type="dxa" w:w="23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Sicil / MERSİS</w:t>
            </w:r>
          </w:p>
        </w:tc>
        <w:tc>
          <w:tcPr>
            <w:tcW w:type="dxa" w:w="67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[______] Ticaret Sicil Müdürlüğü, Sicil No: [__________] — MERSİS No: [__________]</w:t>
            </w:r>
          </w:p>
        </w:tc>
      </w:tr>
      <w:tr>
        <w:tc>
          <w:tcPr>
            <w:tcW w:type="dxa" w:w="23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Vergi Dairesi / No</w:t>
            </w:r>
          </w:p>
        </w:tc>
        <w:tc>
          <w:tcPr>
            <w:tcW w:type="dxa" w:w="67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[__________________] Vergi Dairesi — [__________]</w:t>
            </w:r>
          </w:p>
        </w:tc>
      </w:tr>
      <w:tr>
        <w:tc>
          <w:tcPr>
            <w:tcW w:type="dxa" w:w="23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Adres / KEP</w:t>
            </w:r>
          </w:p>
        </w:tc>
        <w:tc>
          <w:tcPr>
            <w:tcW w:type="dxa" w:w="67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[______________________________________________]  ·  KEP: [__________________]</w:t>
            </w:r>
          </w:p>
        </w:tc>
      </w:tr>
      <w:tr>
        <w:tc>
          <w:tcPr>
            <w:tcW w:type="dxa" w:w="2300"/>
            <w:shd w:fill="EEEEEE" w:color="auto" w:val="clear"/>
            <w:tcMar>
              <w:top w:type="dxa" w:w="60"/>
              <w:left w:type="dxa" w:w="100"/>
              <w:bottom w:type="dxa" w:w="60"/>
              <w:right w:type="dxa" w:w="100"/>
            </w:tcMar>
          </w:tcPr>
          <w:p>
            <w:pPr>
              <w:spacing w:after="0" w:line="220"/>
              <w:jc w:val="left"/>
            </w:pPr>
            <w:r>
              <w:rPr>
                <w:rFonts w:ascii="Times New Roman" w:cs="Times New Roman" w:eastAsia="Times New Roman" w:hAnsi="Times New Roman"/>
                <w:b/>
                <w:bCs/>
                <w:sz w:val="21"/>
                <w:szCs w:val="21"/>
              </w:rPr>
              <w:t xml:space="preserve">Sözleşme / Yürürlük</w:t>
            </w:r>
          </w:p>
        </w:tc>
        <w:tc>
          <w:tcPr>
            <w:tcW w:type="dxa" w:w="67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İmza Tarihi: [__/__/20__]     ·     Yürürlük Tarihi: [__/__/20__]</w:t>
            </w:r>
          </w:p>
        </w:tc>
      </w:tr>
    </w:tbl>
    <w:p>
      <w:pPr>
        <w:spacing w:after="100" w:before="0" w:line="250"/>
        <w:jc w:val="both"/>
      </w:pPr>
      <w:r>
        <w:rPr>
          <w:rFonts w:ascii="Times New Roman" w:cs="Times New Roman" w:eastAsia="Times New Roman" w:hAnsi="Times New Roman"/>
          <w:b w:val="false"/>
          <w:bCs w:val="false"/>
          <w:i w:val="false"/>
          <w:iCs w:val="false"/>
          <w:sz w:val="21"/>
          <w:szCs w:val="21"/>
        </w:rPr>
        <w:t xml:space="preserve"/>
      </w:r>
    </w:p>
    <w:p>
      <w:pPr>
        <w:spacing w:after="60" w:before="0" w:line="250"/>
        <w:jc w:val="both"/>
      </w:pPr>
      <w:r>
        <w:rPr>
          <w:rFonts w:ascii="Times New Roman" w:cs="Times New Roman" w:eastAsia="Times New Roman" w:hAnsi="Times New Roman"/>
          <w:b w:val="false"/>
          <w:bCs w:val="false"/>
          <w:i w:val="false"/>
          <w:iCs w:val="false"/>
          <w:sz w:val="21"/>
          <w:szCs w:val="21"/>
        </w:rPr>
        <w:t xml:space="preserve">i stoc ve MOGEM ayrı ayrı “Taraf”, birlikte “Taraflar” olarak anılacaktır. Taraflar aşağıdaki hususlarda tam ve karşılıklı mutabakata varmışlardır.</w:t>
      </w:r>
    </w:p>
    <w:p>
      <w:pPr>
        <w:keepNext/>
        <w:spacing w:after="80" w:before="180" w:line="230"/>
        <w:jc w:val="left"/>
      </w:pPr>
      <w:r>
        <w:rPr>
          <w:rFonts w:ascii="Times New Roman" w:cs="Times New Roman" w:eastAsia="Times New Roman" w:hAnsi="Times New Roman"/>
          <w:b/>
          <w:bCs/>
          <w:caps w:val="false"/>
          <w:sz w:val="22"/>
          <w:szCs w:val="22"/>
        </w:rPr>
        <w:t xml:space="preserve">MADDE 1 — TANIMLAR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1.1. “Marka”: “i stoc”, “i-stoc”, “istoc” ve “istoc.com” ibarelerini içeren; i stoc adına tescilli, tescil başvurusuna konu edilmiş ya da kullanım yoluyla üzerinde hak elde edilmiş tüm markalar, logolar, ticari takdim şekilleri ve bunların türevleri.</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1.2. “Alan Adı”: istoc.com alan adı ile i stoc adına kayıtlı diğer tüm alan adları ve bunlara bağlı alt alan adları.</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1.3. “Platform”: Alan Adı üzerinden işletilen elektronik ticaret / pazar yeri hizmeti ve buna bağlı mobil uygulamalar.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1.4. “Yetki Alanı”: Türkiye Cumhuriyeti.</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1.5. “Üye İşletme”: Platforma alıcı veya satıcı sıfatıyla dâhil edilen gerçek veya tüzel kişi tacir.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1.6. “Üçüncü Kişi İddiası”: Marka veya Alan Adı ile ilgili olarak üçüncü kişilerce ileri sürülen ihtarname, itiraz, şikâyet, idari başvuru, tedbir talebi veya dava.</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1.7. “Çarşı Yönetimi”: İstoç Toptancılar Çarşısı ve bu çarşıya ilişkin site/işletme yönetimi ile bağlantılı gerçek veya tüzel kişiler. Çarşı Yönetimi, Taraflar bakımından tamamen üçüncü kişi konumundadır; Taraflar ile aralarında hiçbir hukuki, ticari veya organik bağ bulunmamaktadır.</w:t>
      </w:r>
    </w:p>
    <w:p>
      <w:pPr>
        <w:keepNext/>
        <w:spacing w:after="80" w:before="180" w:line="230"/>
        <w:jc w:val="left"/>
      </w:pPr>
      <w:r>
        <w:rPr>
          <w:rFonts w:ascii="Times New Roman" w:cs="Times New Roman" w:eastAsia="Times New Roman" w:hAnsi="Times New Roman"/>
          <w:b/>
          <w:bCs/>
          <w:caps w:val="false"/>
          <w:sz w:val="22"/>
          <w:szCs w:val="22"/>
        </w:rPr>
        <w:t xml:space="preserve">MADDE 2 — SÖZLEŞMENİN KONUSU, AMACI VE HUKUKİ NİTELİĞİ</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2.1. İşbu Sözleşmenin konusu; (a) Marka ve Alan Adı üzerindeki hakların Yetki Alanında korunması, (b) MOGEM’e tanınan temsil, ticaret, işletme kazandırma (onboarding) ve tanıtım yetkisinin kapsamı ile sınırlarının belirlenmesi, (c) Üçüncü Kişi İddialarına karşı ortak savunma usulünün kurulmasıdır.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2.2. Sözleşmenin amacı, Marka ve Alan Adı üzerindeki tüm hakların tek elde — i stoc nezdinde — toplanmasını güvence altına almak; MOGEM’in faaliyetlerini yalnızca yazılı olarak yetkilendirilmiş sınırlar içinde yürütmesini sağlamak ve üçüncü kişiler nezdinde karıştırılma ihtimalini kaynağında bertaraf etmektir.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2.3. İşbu Sözleşme; 6098 sayılı Türk Borçlar Kanunu’nun (“TBK”) vekâlet (m. 502 vd.) hükümleri, 6769 sayılı Sınai Mülkiyet Kanunu’nun (“SMK”) lisans (m. 24) hükümleri ve hizmet unsurlarını birlikte içeren karma nitelikte bir çerçeve sözleşmedir.</w:t>
      </w:r>
    </w:p>
    <w:p>
      <w:pPr>
        <w:keepNext/>
        <w:spacing w:after="80" w:before="180" w:line="230"/>
        <w:jc w:val="left"/>
      </w:pPr>
      <w:r>
        <w:rPr>
          <w:rFonts w:ascii="Times New Roman" w:cs="Times New Roman" w:eastAsia="Times New Roman" w:hAnsi="Times New Roman"/>
          <w:b/>
          <w:bCs/>
          <w:caps w:val="false"/>
          <w:sz w:val="22"/>
          <w:szCs w:val="22"/>
        </w:rPr>
        <w:t xml:space="preserve">MADDE 3 — HAK SAHİPLİĞİ VE MARKANIN BAĞIMSIZ KİMLİĞİ</w:t>
      </w:r>
    </w:p>
    <w:p>
      <w:pPr>
        <w:spacing w:after="80" w:before="0" w:line="250"/>
        <w:jc w:val="both"/>
      </w:pPr>
      <w:r>
        <w:rPr>
          <w:rFonts w:ascii="Times New Roman" w:cs="Times New Roman" w:eastAsia="Times New Roman" w:hAnsi="Times New Roman"/>
          <w:b w:val="false"/>
          <w:bCs w:val="false"/>
          <w:i w:val="false"/>
          <w:iCs w:val="false"/>
          <w:sz w:val="21"/>
          <w:szCs w:val="21"/>
        </w:rPr>
        <w:t xml:space="preserve">3.1. Marka ve Alan Adı üzerindeki tüm mülkiyet, tasarruf ve kullanım hakları münhasıran i stoc’a aittir. İşbu Sözleşme MOGEM lehine hiçbir mülkiyet, ortak mülkiyet, rehin veya sınırlı ayni hak doğurmaz.</w:t>
      </w:r>
    </w:p>
    <w:p>
      <w:pPr>
        <w:spacing w:after="80" w:before="0" w:line="250"/>
        <w:jc w:val="both"/>
      </w:pPr>
      <w:r>
        <w:rPr>
          <w:rFonts w:ascii="Times New Roman" w:cs="Times New Roman" w:eastAsia="Times New Roman" w:hAnsi="Times New Roman"/>
          <w:b w:val="false"/>
          <w:bCs w:val="false"/>
          <w:i w:val="false"/>
          <w:iCs w:val="false"/>
          <w:sz w:val="21"/>
          <w:szCs w:val="21"/>
        </w:rPr>
        <w:t xml:space="preserve">3.2. Markanın kaynağı ve yapısı: Marka, “i” harfi ile İngilizce “stock” (stok) sözcüğünden türetilmiş “stoc” ibaresinin birleşiminden oluşan, Latin alfabesiyle ve “ç” harfi kullanılmaksızın yazılan özgün bir işarettir. Telaffuzu “ay-stok” (i-stoc) biçimindedir. Alan Adı, “istoc” + “.” + “com” unsurlarının teknik birleşiminden ibarettir. Marka; yazım, telaffuz, kök ve anlam bakımından Türkçedeki “İstoç” ibaresinden farklıdır ve ondan türetilmemiştir.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3.3. i stoc; “İstoç” ibaresini hiçbir mecrada kullanmadığını, bu ibarenin tanınmışlığından yararlanma amacı taşımadığını, Çarşı Yönetimi ile arasında hiçbir bağlantı, izin, lisans, sponsorluk, ortaklık veya iştirak ilişkisi bulunmadığını beyan ve taahhüt eder.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3.4. Alan Adı, ICANN kuralları ve ilgili kayıt kuruluşu (registrar) sözleşmesi çerçevesinde i stoc adına kayıtlıdır. Kayıt sahipliği (registrant), registrar hesabı, DNS yönetimi, alan adı kilidi (registrar lock) ve yenileme yükümlülüğü her hâlükârda i stoc’ta kalır; MOGEM’e yalnızca teknik erişim yetkisi tanınabilir.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3.5. Şirket unvanı ile marka arasındaki bağ: “i stoc limited company” unvanı, Marka ile aynı kökten gelmekte olup Birleşik Krallık’ta usulüne uygun biçimde tescil edilmiştir. Bu unvan, Paris Sözleşmesi m. 8 ve 6102 sayılı Türk Ticaret Kanunu (“TTK”) m. 39 vd. çerçevesinde korunan bağımsız bir ticari ad niteliğindedir.</w:t>
      </w:r>
    </w:p>
    <w:p>
      <w:pPr>
        <w:keepNext/>
        <w:spacing w:after="80" w:before="180" w:line="230"/>
        <w:jc w:val="left"/>
      </w:pPr>
      <w:r>
        <w:rPr>
          <w:rFonts w:ascii="Times New Roman" w:cs="Times New Roman" w:eastAsia="Times New Roman" w:hAnsi="Times New Roman"/>
          <w:b/>
          <w:bCs/>
          <w:caps w:val="false"/>
          <w:sz w:val="22"/>
          <w:szCs w:val="22"/>
        </w:rPr>
        <w:t xml:space="preserve">MADDE 4 — SINIRLI KULLANIM LİSANSI</w:t>
      </w:r>
    </w:p>
    <w:p>
      <w:pPr>
        <w:spacing w:after="80" w:before="0" w:line="250"/>
        <w:jc w:val="both"/>
      </w:pPr>
      <w:r>
        <w:rPr>
          <w:rFonts w:ascii="Times New Roman" w:cs="Times New Roman" w:eastAsia="Times New Roman" w:hAnsi="Times New Roman"/>
          <w:b w:val="false"/>
          <w:bCs w:val="false"/>
          <w:i w:val="false"/>
          <w:iCs w:val="false"/>
          <w:sz w:val="21"/>
          <w:szCs w:val="21"/>
        </w:rPr>
        <w:t xml:space="preserve">4.1. i stoc, MOGEM’e; Yetki Alanı ile sınırlı, inhisari olmayan, devredilemez, alt lisansa konu edilemeyen ve Sözleşme süresi ile sınırlı bir kullanım lisansı verir.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4.2. Lisans yalnızca işbu Sözleşme kapsamındaki temsil, satış organizasyonu, onboarding ve tanıtım faaliyetleri için kullanılabilir; başka hiçbir amaçla kullanılamaz.</w:t>
      </w:r>
    </w:p>
    <w:p>
      <w:pPr>
        <w:spacing w:after="80" w:before="0" w:line="250"/>
        <w:jc w:val="both"/>
      </w:pPr>
      <w:r>
        <w:rPr>
          <w:rFonts w:ascii="Times New Roman" w:cs="Times New Roman" w:eastAsia="Times New Roman" w:hAnsi="Times New Roman"/>
          <w:b w:val="false"/>
          <w:bCs w:val="false"/>
          <w:i w:val="false"/>
          <w:iCs w:val="false"/>
          <w:sz w:val="21"/>
          <w:szCs w:val="21"/>
        </w:rPr>
        <w:t xml:space="preserve">4.3. Lisans, SMK m. 24 uyarınca yazılı şekilde verilmiştir. i stoc dilediği zaman lisansın SMK m. 148 uyarınca sicile şerh edilmesini isteyebilir. Markanın kullanımından doğan tüm itibar, bilinirlik ve müktesep değer doğrudan ve münhasıran i stoc’a ait olur.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4.4. MOGEM, Markayı veya benzerini kendi ticaret unvanına, işletme adına, logosuna, ambalajına veya kurumsal kimliğine dâhil edemez.</w:t>
      </w:r>
    </w:p>
    <w:p>
      <w:pPr>
        <w:keepNext/>
        <w:spacing w:after="80" w:before="180" w:line="230"/>
        <w:jc w:val="left"/>
      </w:pPr>
      <w:r>
        <w:rPr>
          <w:rFonts w:ascii="Times New Roman" w:cs="Times New Roman" w:eastAsia="Times New Roman" w:hAnsi="Times New Roman"/>
          <w:b/>
          <w:bCs/>
          <w:caps w:val="false"/>
          <w:sz w:val="22"/>
          <w:szCs w:val="22"/>
        </w:rPr>
        <w:t xml:space="preserve">MADDE 5 — TEMSİL YETKİSİNİN KAPSAMI</w:t>
      </w:r>
    </w:p>
    <w:p>
      <w:pPr>
        <w:spacing w:after="80" w:before="0" w:line="250"/>
        <w:jc w:val="both"/>
      </w:pPr>
      <w:r>
        <w:rPr>
          <w:rFonts w:ascii="Times New Roman" w:cs="Times New Roman" w:eastAsia="Times New Roman" w:hAnsi="Times New Roman"/>
          <w:b w:val="false"/>
          <w:bCs w:val="false"/>
          <w:i w:val="false"/>
          <w:iCs w:val="false"/>
          <w:sz w:val="21"/>
          <w:szCs w:val="21"/>
        </w:rPr>
        <w:t xml:space="preserve">5.1. MOGEM, Yetki Alanında i stoc adına aşağıdaki işleri yürütmeye yetkilidir: (a) yasal temsil ve resmî/idari mercilerle yazışma; (b) ticari faaliyetin organizasyonu ve satış geliştirme; (c) alıcı ve satıcı ticari işletmelerin Platforma kazandırılması (onboarding) ve bu amaçla Üye İşletme sözleşmelerinin akdedilmesi; (d) reklam, tanıtım, pazarlama, halkla ilişkiler ve etkinlik faaliyetleri; (e) yalnızca ayrıca yetkilendirildiği ölçüde tahsilat ve ödeme organizasyonu.</w:t>
      </w:r>
    </w:p>
    <w:p>
      <w:pPr>
        <w:spacing w:after="80" w:before="0" w:line="250"/>
        <w:jc w:val="both"/>
      </w:pPr>
      <w:r>
        <w:rPr>
          <w:rFonts w:ascii="Times New Roman" w:cs="Times New Roman" w:eastAsia="Times New Roman" w:hAnsi="Times New Roman"/>
          <w:b w:val="false"/>
          <w:bCs w:val="false"/>
          <w:i w:val="false"/>
          <w:iCs w:val="false"/>
          <w:sz w:val="21"/>
          <w:szCs w:val="21"/>
        </w:rPr>
        <w:t xml:space="preserve">5.2. Yetkinin kapsamı EK-1’de yer alan Yetki Belgesi ile belgelenir. Üçüncü kişiler nezdinde MOGEM yalnızca Yetki Belgesinde yazılı kapsamla bağlıdır; bu kapsamı aşan beyanlar i stoc’u bağlamaz.</w:t>
      </w:r>
    </w:p>
    <w:p>
      <w:pPr>
        <w:spacing w:after="80" w:before="0" w:line="250"/>
        <w:jc w:val="both"/>
      </w:pPr>
      <w:r>
        <w:rPr>
          <w:rFonts w:ascii="Times New Roman" w:cs="Times New Roman" w:eastAsia="Times New Roman" w:hAnsi="Times New Roman"/>
          <w:b w:val="false"/>
          <w:bCs w:val="false"/>
          <w:i w:val="false"/>
          <w:iCs w:val="false"/>
          <w:sz w:val="21"/>
          <w:szCs w:val="21"/>
        </w:rPr>
        <w:t xml:space="preserve">5.3. Üye İşletme sözleşmeleri, i stoc’un yazılı onayı ile yürürlüğe konulan tip sözleşme metinleri üzerinden akdedilir. MOGEM tip metinlerde tek taraflı değişiklik yapamaz, ek taahhüt veremez, garanti ya da performans vaadinde bulunamaz.</w:t>
      </w:r>
    </w:p>
    <w:p>
      <w:pPr>
        <w:spacing w:after="80" w:before="0" w:line="250"/>
        <w:jc w:val="both"/>
      </w:pPr>
      <w:r>
        <w:rPr>
          <w:rFonts w:ascii="Times New Roman" w:cs="Times New Roman" w:eastAsia="Times New Roman" w:hAnsi="Times New Roman"/>
          <w:b w:val="false"/>
          <w:bCs w:val="false"/>
          <w:i w:val="false"/>
          <w:iCs w:val="false"/>
          <w:sz w:val="21"/>
          <w:szCs w:val="21"/>
        </w:rPr>
        <w:t xml:space="preserve">5.4. MOGEM faaliyetlerini kendi ticari organizasyonu, personeli, işyeri ve riski ile bağımsız tacir sıfatıyla yürütür. Hizmet bedeli ve komisyon esasları EK-3’te düzenlenir.</w:t>
      </w:r>
    </w:p>
    <w:p>
      <w:pPr>
        <w:keepNext/>
        <w:spacing w:after="80" w:before="180" w:line="230"/>
        <w:jc w:val="left"/>
      </w:pPr>
      <w:r>
        <w:rPr>
          <w:rFonts w:ascii="Times New Roman" w:cs="Times New Roman" w:eastAsia="Times New Roman" w:hAnsi="Times New Roman"/>
          <w:b/>
          <w:bCs/>
          <w:caps w:val="false"/>
          <w:sz w:val="22"/>
          <w:szCs w:val="22"/>
        </w:rPr>
        <w:t xml:space="preserve">MADDE 6 — YETKİNİN SINIRLARI VE YASAK İŞLEMLER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6.1. MOGEM, i stoc’un önceden alınmış açık ve yazılı onayı olmaksızın:</w:t>
      </w:r>
    </w:p>
    <w:p>
      <w:pPr>
        <w:spacing w:after="80" w:before="0" w:line="250"/>
        <w:ind w:left="300"/>
        <w:jc w:val="both"/>
      </w:pPr>
      <w:r>
        <w:rPr>
          <w:rFonts w:ascii="Times New Roman" w:cs="Times New Roman" w:eastAsia="Times New Roman" w:hAnsi="Times New Roman"/>
          <w:b w:val="false"/>
          <w:bCs w:val="false"/>
          <w:i w:val="false"/>
          <w:iCs w:val="false"/>
          <w:sz w:val="21"/>
          <w:szCs w:val="21"/>
        </w:rPr>
        <w:t xml:space="preserve">a) Marka veya Alan Adı üzerinde hak iddia edemez; bunları devredemez, rehnedemez, teminat gösteremez, üzerlerine tedbir/haciz konulmasına yol açacak işlem yapamaz;</w:t>
      </w:r>
    </w:p>
    <w:p>
      <w:pPr>
        <w:spacing w:after="80" w:before="0" w:line="250"/>
        <w:ind w:left="300"/>
        <w:jc w:val="both"/>
      </w:pPr>
      <w:r>
        <w:rPr>
          <w:rFonts w:ascii="Times New Roman" w:cs="Times New Roman" w:eastAsia="Times New Roman" w:hAnsi="Times New Roman"/>
          <w:b w:val="false"/>
          <w:bCs w:val="false"/>
          <w:i w:val="false"/>
          <w:iCs w:val="false"/>
          <w:sz w:val="21"/>
          <w:szCs w:val="21"/>
        </w:rPr>
        <w:t xml:space="preserve">b) Marka ile aynı veya benzer ibareleri kendi adına ya da kendisiyle ilişkili kişiler adına marka, ticaret unvanı, işletme adı, alan adı, sosyal medya kullanıcı adı veya uygulama adı olarak tescil ettiremez/kayıt edemez. Bu yasağa aykırı biçimde yapılmış her kayıt, talep üzerine derhâl ve bedelsiz olarak i stoc’a devredilir;</w:t>
      </w:r>
    </w:p>
    <w:p>
      <w:pPr>
        <w:spacing w:after="80" w:before="0" w:line="250"/>
        <w:ind w:left="300"/>
        <w:jc w:val="both"/>
      </w:pPr>
      <w:r>
        <w:rPr>
          <w:rFonts w:ascii="Times New Roman" w:cs="Times New Roman" w:eastAsia="Times New Roman" w:hAnsi="Times New Roman"/>
          <w:b w:val="false"/>
          <w:bCs w:val="false"/>
          <w:i w:val="false"/>
          <w:iCs w:val="false"/>
          <w:sz w:val="21"/>
          <w:szCs w:val="21"/>
        </w:rPr>
        <w:t xml:space="preserve">c) i stoc adına dava açamaz, davadan feragat edemez, davayı kabul edemez, sulh olamaz, ikrarda bulunamaz, tahkim veya yetki sözleşmesi yapamaz;</w:t>
      </w:r>
    </w:p>
    <w:p>
      <w:pPr>
        <w:spacing w:after="80" w:before="0" w:line="250"/>
        <w:ind w:left="300"/>
        <w:jc w:val="both"/>
      </w:pPr>
      <w:r>
        <w:rPr>
          <w:rFonts w:ascii="Times New Roman" w:cs="Times New Roman" w:eastAsia="Times New Roman" w:hAnsi="Times New Roman"/>
          <w:b w:val="false"/>
          <w:bCs w:val="false"/>
          <w:i w:val="false"/>
          <w:iCs w:val="false"/>
          <w:sz w:val="21"/>
          <w:szCs w:val="21"/>
        </w:rPr>
        <w:t xml:space="preserve">d) i stoc’u borç altına sokan kredi, kefalet, garanti, senet veya teminat taahhüdü veremez;</w:t>
      </w:r>
    </w:p>
    <w:p>
      <w:pPr>
        <w:spacing w:after="80" w:before="0" w:line="250"/>
        <w:ind w:left="300"/>
        <w:jc w:val="both"/>
      </w:pPr>
      <w:r>
        <w:rPr>
          <w:rFonts w:ascii="Times New Roman" w:cs="Times New Roman" w:eastAsia="Times New Roman" w:hAnsi="Times New Roman"/>
          <w:b w:val="false"/>
          <w:bCs w:val="false"/>
          <w:i w:val="false"/>
          <w:iCs w:val="false"/>
          <w:sz w:val="21"/>
          <w:szCs w:val="21"/>
        </w:rPr>
        <w:t xml:space="preserve">e) alt temsilci, alt acente veya ikinci derece yetkili atayamaz;</w:t>
      </w:r>
    </w:p>
    <w:p>
      <w:pPr>
        <w:spacing w:after="80" w:before="0" w:line="250"/>
        <w:ind w:left="300"/>
        <w:jc w:val="both"/>
      </w:pPr>
      <w:r>
        <w:rPr>
          <w:rFonts w:ascii="Times New Roman" w:cs="Times New Roman" w:eastAsia="Times New Roman" w:hAnsi="Times New Roman"/>
          <w:b w:val="false"/>
          <w:bCs w:val="false"/>
          <w:i w:val="false"/>
          <w:iCs w:val="false"/>
          <w:sz w:val="21"/>
          <w:szCs w:val="21"/>
        </w:rPr>
        <w:t xml:space="preserve">f) Markayı, Çarşı Yönetimi veya herhangi bir üçüncü kişi ile bağlantı, işbirliği ya da sponsorluk izlenimi doğuracak biçimde kullanamaz;</w:t>
      </w:r>
    </w:p>
    <w:p>
      <w:pPr>
        <w:spacing w:after="80" w:before="0" w:line="250"/>
        <w:ind w:left="300"/>
        <w:jc w:val="both"/>
      </w:pPr>
      <w:r>
        <w:rPr>
          <w:rFonts w:ascii="Times New Roman" w:cs="Times New Roman" w:eastAsia="Times New Roman" w:hAnsi="Times New Roman"/>
          <w:b w:val="false"/>
          <w:bCs w:val="false"/>
          <w:i w:val="false"/>
          <w:iCs w:val="false"/>
          <w:sz w:val="21"/>
          <w:szCs w:val="21"/>
        </w:rPr>
        <w:t xml:space="preserve">g) EK-2’de yer alan Marka Yazım ve Kullanım Kılavuzunun dışına çıkamaz.</w:t>
      </w:r>
    </w:p>
    <w:p>
      <w:pPr>
        <w:spacing w:after="80" w:before="0" w:line="250"/>
        <w:jc w:val="both"/>
      </w:pPr>
      <w:r>
        <w:rPr>
          <w:rFonts w:ascii="Times New Roman" w:cs="Times New Roman" w:eastAsia="Times New Roman" w:hAnsi="Times New Roman"/>
          <w:b w:val="false"/>
          <w:bCs w:val="false"/>
          <w:i w:val="false"/>
          <w:iCs w:val="false"/>
          <w:sz w:val="21"/>
          <w:szCs w:val="21"/>
        </w:rPr>
        <w:t xml:space="preserve">6.2. Yetki sınırlarının aşılması hâlinde yapılan işlem, TBK m. 46 vd. yetkisiz temsil hükümleri uyarınca i stoc’u bağlamaz; i stoc’un icazet vermesi ve doğan zararı MOGEM’den talep etme hakkı saklıdır.</w:t>
      </w:r>
    </w:p>
    <w:p>
      <w:pPr>
        <w:keepNext/>
        <w:spacing w:after="80" w:before="180" w:line="230"/>
        <w:jc w:val="left"/>
      </w:pPr>
      <w:r>
        <w:rPr>
          <w:rFonts w:ascii="Times New Roman" w:cs="Times New Roman" w:eastAsia="Times New Roman" w:hAnsi="Times New Roman"/>
          <w:b/>
          <w:bCs/>
          <w:caps w:val="false"/>
          <w:sz w:val="22"/>
          <w:szCs w:val="22"/>
        </w:rPr>
        <w:t xml:space="preserve">MADDE 7 — MARKA YAZIM, TELAFFUZ VE SUNUM STANDARDI</w:t>
      </w:r>
    </w:p>
    <w:p>
      <w:pPr>
        <w:spacing w:after="80" w:before="0" w:line="250"/>
        <w:jc w:val="both"/>
      </w:pPr>
      <w:r>
        <w:rPr>
          <w:rFonts w:ascii="Times New Roman" w:cs="Times New Roman" w:eastAsia="Times New Roman" w:hAnsi="Times New Roman"/>
          <w:b w:val="false"/>
          <w:bCs w:val="false"/>
          <w:i w:val="false"/>
          <w:iCs w:val="false"/>
          <w:sz w:val="21"/>
          <w:szCs w:val="21"/>
        </w:rPr>
        <w:t xml:space="preserve">7.1. Marka her mecrada, istisnasız olarak, Latin alfabesiyle ve “ç” harfi kullanılmaksızın “istoc”, “i stoc” veya “i-stoc” biçiminde yazılır. “İSTOÇ”, “İstoç”, “istoç” yazımlarının kullanılması kesinlikle yasaktır.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7.2. Kurumsal metinlerde ve görsel materyallerde, ayırt ediciliği güçlendirmek amacıyla ayrık yazım (“i stoc”) veya tam alan adı (“istoc.com”) kullanımı tercih edilir.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7.3. Markanın telaffuzu, sesli ve görüntülü tüm reklam ve tanıtımlarda “ay-stok” olarak sunulur; farklı bir telaffuz kullanılamaz.</w:t>
      </w:r>
    </w:p>
    <w:p>
      <w:pPr>
        <w:spacing w:after="80" w:before="0" w:line="250"/>
        <w:jc w:val="both"/>
      </w:pPr>
      <w:r>
        <w:rPr>
          <w:rFonts w:ascii="Times New Roman" w:cs="Times New Roman" w:eastAsia="Times New Roman" w:hAnsi="Times New Roman"/>
          <w:b w:val="false"/>
          <w:bCs w:val="false"/>
          <w:i w:val="false"/>
          <w:iCs w:val="false"/>
          <w:sz w:val="21"/>
          <w:szCs w:val="21"/>
        </w:rPr>
        <w:t xml:space="preserve">7.4. Marka; toptancı çarşısı, site, blok, ada, kapı numarası, kroki, yön tarifi gibi fiziki bir çarşıyı çağrıştıran unsurlarla ve Çarşı Yönetiminin kurumsal renk, amblem, yazı karakteri veya tanıtım vasıtalarını andıran görsel unsurlarla birlikte kullanılamaz.</w:t>
      </w:r>
    </w:p>
    <w:p>
      <w:pPr>
        <w:spacing w:after="80" w:before="0" w:line="250"/>
        <w:jc w:val="both"/>
      </w:pPr>
      <w:r>
        <w:rPr>
          <w:rFonts w:ascii="Times New Roman" w:cs="Times New Roman" w:eastAsia="Times New Roman" w:hAnsi="Times New Roman"/>
          <w:b w:val="false"/>
          <w:bCs w:val="false"/>
          <w:i w:val="false"/>
          <w:iCs w:val="false"/>
          <w:sz w:val="21"/>
          <w:szCs w:val="21"/>
        </w:rPr>
        <w:t xml:space="preserve">7.5. Arama motoru ve sosyal medya reklamlarında “İstoç”, “İstoç Çarşı”, “İstoç Toptancılar”, “İstoç Yönetimi” ve benzeri anahtar kelimeler satın alınamaz; bu ibareler tüm reklam hesaplarında olumsuz (negative) anahtar kelime listesine eklenir ve listenin güncelliği MOGEM tarafından belgelenir.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7.6. Alan adları, e-posta adresleri, sosyal medya ve uygulama mağazası kullanıcı adları yalnızca “istoc” / “istoccom” temelli olarak oluşturulur.</w:t>
      </w:r>
    </w:p>
    <w:p>
      <w:pPr>
        <w:keepNext/>
        <w:spacing w:after="80" w:before="180" w:line="230"/>
        <w:jc w:val="left"/>
      </w:pPr>
      <w:r>
        <w:rPr>
          <w:rFonts w:ascii="Times New Roman" w:cs="Times New Roman" w:eastAsia="Times New Roman" w:hAnsi="Times New Roman"/>
          <w:b/>
          <w:bCs/>
          <w:caps w:val="false"/>
          <w:sz w:val="22"/>
          <w:szCs w:val="22"/>
        </w:rPr>
        <w:t xml:space="preserve">MADDE 8 — BAĞLANTISIZLIK BEYANI</w:t>
      </w:r>
    </w:p>
    <w:p>
      <w:pPr>
        <w:spacing w:after="80" w:before="0" w:line="250"/>
        <w:jc w:val="both"/>
      </w:pPr>
      <w:r>
        <w:rPr>
          <w:rFonts w:ascii="Times New Roman" w:cs="Times New Roman" w:eastAsia="Times New Roman" w:hAnsi="Times New Roman"/>
          <w:b w:val="false"/>
          <w:bCs w:val="false"/>
          <w:i w:val="false"/>
          <w:iCs w:val="false"/>
          <w:sz w:val="21"/>
          <w:szCs w:val="21"/>
        </w:rPr>
        <w:t xml:space="preserve">8.1. Platformun ana sayfasında, “Hakkımızda” ve “Kurumsal” sayfalarında, Üye İşletme sözleşmelerinde, faturalarda ve basılı/dijital tüm tanıtım materyallerinde, okunabilir punto ve konumda aşağıdaki beyan yer alır:</w:t>
      </w:r>
    </w:p>
    <w:p>
      <w:pPr>
        <w:spacing w:after="70" w:before="0" w:line="250"/>
        <w:ind w:left="300"/>
        <w:jc w:val="both"/>
      </w:pPr>
      <w:r>
        <w:rPr>
          <w:rFonts w:ascii="Times New Roman" w:cs="Times New Roman" w:eastAsia="Times New Roman" w:hAnsi="Times New Roman"/>
          <w:b w:val="false"/>
          <w:bCs w:val="false"/>
          <w:i/>
          <w:iCs/>
          <w:sz w:val="21"/>
          <w:szCs w:val="21"/>
        </w:rPr>
        <w:t xml:space="preserve">“i stoc / istoc.com, İngiltere’de kurulu i stoc limited company’nin markası ve alan adıdır. i stoc’un, İstoç Toptancılar Çarşısı ve/veya bu çarşının yönetimi ile herhangi bir bağlantısı, ortaklığı, iştiraki, sponsorluk, lisans veya temsil ilişkisi bulunmamaktadır.”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8.2. Bu beyan, ortalama tüketici nezdinde karıştırılma ihtimalini bertaraf etmeye yönelik somut bir iyiniyet göstergesi olup; TTK m. 54-55 (özellikle m. 55/1-a-4 anlamında karıştırılmaya yol açma) kapsamındaki iddialara karşı Tarafların ortak savunma unsurunu oluşturur.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8.3. Beyanın tüm mecralarda eksiksiz, güncel ve görünür tutulması MOGEM’in sorumluluğundadır. Beyanın kaldırılması veya görünürlüğünün azaltılması işbu Sözleşmenin esaslı ihlali sayılır.</w:t>
      </w:r>
    </w:p>
    <w:p>
      <w:pPr>
        <w:keepNext/>
        <w:spacing w:after="80" w:before="180" w:line="230"/>
        <w:jc w:val="left"/>
      </w:pPr>
      <w:r>
        <w:rPr>
          <w:rFonts w:ascii="Times New Roman" w:cs="Times New Roman" w:eastAsia="Times New Roman" w:hAnsi="Times New Roman"/>
          <w:b/>
          <w:bCs/>
          <w:caps w:val="false"/>
          <w:sz w:val="22"/>
          <w:szCs w:val="22"/>
        </w:rPr>
        <w:t xml:space="preserve">MADDE 9 — ÜÇÜNCÜ KİŞİ HAK İDDİALARI VE ORTAK SAVUNMA USULÜ</w:t>
      </w:r>
    </w:p>
    <w:p>
      <w:pPr>
        <w:spacing w:after="80" w:before="0" w:line="250"/>
        <w:jc w:val="both"/>
      </w:pPr>
      <w:r>
        <w:rPr>
          <w:rFonts w:ascii="Times New Roman" w:cs="Times New Roman" w:eastAsia="Times New Roman" w:hAnsi="Times New Roman"/>
          <w:b w:val="false"/>
          <w:bCs w:val="false"/>
          <w:i w:val="false"/>
          <w:iCs w:val="false"/>
          <w:sz w:val="21"/>
          <w:szCs w:val="21"/>
        </w:rPr>
        <w:t xml:space="preserve">9.1. MOGEM’e ulaşan her ihtarname, itiraz, şikâyet, idari yazı, tebligat, tedbir kararı veya dava evrakı; içeriği ve ekleri ile birlikte en geç 2 (iki) iş günü içinde i stoc’a iletilir. Sürenin geçirilmesinden doğan tüm zarardan MOGEM sorumludur.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9.2. Savunma stratejisi münhasıran i stoc tarafından belirlenir. MOGEM; ikrarda bulunamaz, sulh olamaz, feragat edemez, davayı kabul edemez, marka kullanımını tek taraflı olarak durduramaz veya değiştiremez.</w:t>
      </w:r>
    </w:p>
    <w:p>
      <w:pPr>
        <w:spacing w:after="80" w:before="0" w:line="250"/>
        <w:jc w:val="both"/>
      </w:pPr>
      <w:r>
        <w:rPr>
          <w:rFonts w:ascii="Times New Roman" w:cs="Times New Roman" w:eastAsia="Times New Roman" w:hAnsi="Times New Roman"/>
          <w:b w:val="false"/>
          <w:bCs w:val="false"/>
          <w:i w:val="false"/>
          <w:iCs w:val="false"/>
          <w:sz w:val="21"/>
          <w:szCs w:val="21"/>
        </w:rPr>
        <w:t xml:space="preserve">9.3. Hukuki temsil: vekilleri i stoc tayin eder ve vekâlet ücreti ile yargılama giderlerini i stoc karşılar. MOGEM, belge, kayıt, tanık ve bilgi desteğini gecikmeksizin ve ücretsiz sağlar.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9.4. Bir idari veya adli tedbir kararının tebliği hâlinde MOGEM kararın gereğini derhâl yerine getirir; karara karşı kanun yollarına başvuru, i stoc’un yazılı talimatı doğrultusunda ve i stoc’un belirlediği vekil aracılığıyla yapılır.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9.5. Savunmada dayanılacak temel unsurlar EK-4 Delil Dosyası ile desteklenir: (a) Markanın yazım, telaffuz, kök ve anlam bakımından farklılığı; (b) i stoc’un tescil ve kullanım önceliği; (c) Madde 8 uyarınca yayımlanan bağlantısızlık beyanı; (d) hedef kitle, dağıtım kanalı ve mecra farklılığı; (e) Alan Adının ICANN kuralları çerçevesinde ve iyiniyetle edinilmiş olması; (f) Markanın SMK m. 5 anlamında ayırt edici ve bağımsız bir işaret niteliği taşıması.</w:t>
      </w:r>
    </w:p>
    <w:p>
      <w:pPr>
        <w:spacing w:after="80" w:before="0" w:line="250"/>
        <w:jc w:val="both"/>
      </w:pPr>
      <w:r>
        <w:rPr>
          <w:rFonts w:ascii="Times New Roman" w:cs="Times New Roman" w:eastAsia="Times New Roman" w:hAnsi="Times New Roman"/>
          <w:b w:val="false"/>
          <w:bCs w:val="false"/>
          <w:i w:val="false"/>
          <w:iCs w:val="false"/>
          <w:sz w:val="21"/>
          <w:szCs w:val="21"/>
        </w:rPr>
        <w:t xml:space="preserve">9.6. Alan Adına yönelik olarak ICANN Yeknesak Alan Adı Uyuşmazlık Çözüm Politikası (UDRP) kapsamında yapılacak başvurularda — özellikle WIPO Tahkim ve Arabuluculuk Merkezi nezdinde — yanıt hazırlığı ve süreç yönetimi münhasıran i stoc’a aittir. MOGEM bu süreçte istenen tüm bilgi ve belgeleri sağlar.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9.7. i stoc, hakkının ihlali hâlinde SMK m. 149 vd. uyarınca tecavüzün tespiti, önlenmesi ve durdurulması ile maddi-manevi tazminat talep etme; SMK m. 159 uyarınca ihtiyati tedbir ve SMK m. 57 uyarınca gümrüklerde el koyma talebinde bulunma haklarını saklı tutar.</w:t>
      </w:r>
    </w:p>
    <w:p>
      <w:pPr>
        <w:keepNext/>
        <w:spacing w:after="80" w:before="180" w:line="230"/>
        <w:jc w:val="left"/>
      </w:pPr>
      <w:r>
        <w:rPr>
          <w:rFonts w:ascii="Times New Roman" w:cs="Times New Roman" w:eastAsia="Times New Roman" w:hAnsi="Times New Roman"/>
          <w:b/>
          <w:bCs/>
          <w:caps w:val="false"/>
          <w:sz w:val="22"/>
          <w:szCs w:val="22"/>
        </w:rPr>
        <w:t xml:space="preserve">MADDE 10 — ÖNCELİK VE DELİL DOSYASININ TUTULMASI</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10.1. Taraflar, i stoc’un önceki hak sahipliğini ve Markayı ciddi biçimde kullandığını ispata elverişli delilleri kesintisiz ve tarihli olarak muhafaza eder: alan adı kayıt (WHOIS) tarihi kayıtları, marka başvuru ve tescil belgeleri ile Nice sınıfları, faturalar, reklam ve sponsorluk kayıtları, ekran görüntüleri, web arşivi kayıtları, basın ve sosyal medya yayınları, Üye İşletme sayısı ve işlem hacmi verileri.</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10.2. Bu deliller, SMK m. 9 (markayı kullanma yükümlülüğü), m. 19/2 (yayına itirazda kullanım ispatı) ve m. 25/7 (hükümsüzlük davasında kullanım def’i) bakımından esas alınacak şekilde düzenlenir ve dizi pusulası ile listelenir.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10.3. Kritik delillerin noter tespiti veya 6100 sayılı Hukuk Muhakemeleri Kanunu m. 400 vd. uyarınca delil tespiti yoluyla belgelenmesine i stoc karar verir; masraflar i stoc tarafından karşılanır.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10.4. Delil Dosyası fiilen MOGEM tarafından tutulsa dahi mülkiyeti i stoc’a aittir; talep hâlinde en geç 5 (beş) iş günü içinde eksiksiz olarak teslim edilir.</w:t>
      </w:r>
    </w:p>
    <w:p>
      <w:pPr>
        <w:keepNext/>
        <w:spacing w:after="80" w:before="180" w:line="230"/>
        <w:jc w:val="left"/>
      </w:pPr>
      <w:r>
        <w:rPr>
          <w:rFonts w:ascii="Times New Roman" w:cs="Times New Roman" w:eastAsia="Times New Roman" w:hAnsi="Times New Roman"/>
          <w:b/>
          <w:bCs/>
          <w:caps w:val="false"/>
          <w:sz w:val="22"/>
          <w:szCs w:val="22"/>
        </w:rPr>
        <w:t xml:space="preserve">MADDE 11 — MEVZUATA UYGUNLUK</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11.1. MOGEM; 6563 sayılı Elektronik Ticaretin Düzenlenmesi Hakkında Kanun ve ikincil mevzuatı kapsamında Elektronik Ticaret Bilgi Sistemi (ETBİS) kayıt ve bildirim yükümlülüklerinin yerine getirilmesini koordine eder; elektronik ticaret hizmet sağlayıcı ve/veya aracı hizmet sağlayıcı sıfatlarının doğru şekilde tespit ve beyan edilmesini sağlar.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11.2. Ticari elektronik iletiler, 6563 sayılı Kanun ile Ticari İletişim ve Ticari Elektronik İletiler Hakkında Yönetmelik uyarınca gönderilir; onaylar İleti Yönetim Sistemi (İYS) üzerinden alınır, kaydedilir ve saklanır.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11.3. Reklam ve tanıtım faaliyetleri; 6502 sayılı Tüketicinin Korunması Hakkında Kanun m. 61-63 ile Ticari Reklam ve Haksız Ticari Uygulamalar Yönetmeliği’ne uygun yürütülür, Reklam Kurulu kararlarına uyulur. Karşılaştırmalı reklamda üçüncü kişilerin markasına atıf yapılamaz.</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11.4. Tüketici konumundaki alıcılara yönelik satışlarda 6502 sayılı Kanun ve Mesafeli Sözleşmeler Yönetmeliği hükümleri uygulanır.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11.5. 5651 sayılı Kanun kapsamındaki içerik/yer sağlayıcı yükümlülükleri, uyarı-kaldırma bildirimleri ve trafik kayıtlarının tutulması MOGEM tarafından yönetilir ve i stoc’a raporlanır.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11.6. 4054 sayılı Rekabetin Korunması Hakkında Kanun’a uyulur; yeniden satış fiyatının belirlenmesi ve rakiplerle rekabete duyarlı bilgi paylaşımı yasaktır.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11.7. MOGEM, kendisine verilen bir talimatın mevzuata aykırılık oluşturduğu kanaatine varırsa bunu gecikmeksizin yazılı olarak i stoc’a bildirir. Bildirimde bulunmaksızın uygulanan talimattan doğan idari yaptırım ve zarar MOGEM’e aittir.</w:t>
      </w:r>
    </w:p>
    <w:p>
      <w:pPr>
        <w:keepNext/>
        <w:spacing w:after="80" w:before="180" w:line="230"/>
        <w:jc w:val="left"/>
      </w:pPr>
      <w:r>
        <w:rPr>
          <w:rFonts w:ascii="Times New Roman" w:cs="Times New Roman" w:eastAsia="Times New Roman" w:hAnsi="Times New Roman"/>
          <w:b/>
          <w:bCs/>
          <w:caps w:val="false"/>
          <w:sz w:val="22"/>
          <w:szCs w:val="22"/>
        </w:rPr>
        <w:t xml:space="preserve">MADDE 12 — KİŞİSEL VERİLERİN KORUNMASI</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12.1. 6698 sayılı Kişisel Verilerin Korunması Kanunu (“KVKK”) bakımından i stoc veri sorumlusu, MOGEM veri işleyen sıfatını haizdir. MOGEM kişisel verileri yalnızca i stoc’un yazılı talimatı doğrultusunda ve Sözleşme amacıyla sınırlı olarak işler.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12.2. MOGEM, KVKK m. 12 uyarınca gerekli teknik ve idari tedbirleri alır; veri ihlalini öğrendiği andan itibaren en geç 24 saat içinde i stoc’a bildirir. Kurula ve ilgili kişilere yapılacak bildirimlerin içeriğini i stoc belirler.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12.3. i stoc’un yurt dışında yerleşik olması nedeniyle kişisel verilerin yurt dışına aktarımı, KVKK m. 9 çerçevesinde (yeterlilik kararı, uygun güvenceler veya standart sözleşme) yürütülür ve gerekli bildirimler Kurula yapılır.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12.4. Veri Sorumluları Sicili (VERBİS) kaydı ile Veri Sorumlusu Temsilcisi atanması gerektiği hâllerde, KVKK m. 16 ve Veri Sorumluları Sicili Hakkında Yönetmelik m. 11 uyarınca MOGEM veya Tarafların birlikte belirleyeceği kişi bu sıfatla atanır.</w:t>
      </w:r>
    </w:p>
    <w:p>
      <w:pPr>
        <w:keepNext/>
        <w:spacing w:after="80" w:before="180" w:line="230"/>
        <w:jc w:val="left"/>
      </w:pPr>
      <w:r>
        <w:rPr>
          <w:rFonts w:ascii="Times New Roman" w:cs="Times New Roman" w:eastAsia="Times New Roman" w:hAnsi="Times New Roman"/>
          <w:b/>
          <w:bCs/>
          <w:caps w:val="false"/>
          <w:sz w:val="22"/>
          <w:szCs w:val="22"/>
        </w:rPr>
        <w:t xml:space="preserve">MADDE 13 — MALİ HÜKÜMLER, FATURA VE VERGİ</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13.1. Hizmet bedeli ve komisyon oranları EK-3’te belirlenir. Bedel, 5520 sayılı Kurumlar Vergisi Kanunu m. 13 anlamında emsallere uygunluk ilkesine göre tespit edilir ve transfer fiyatlandırması belgelendirme yükümlülükleri yerine getirilir.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13.2. Faturalar 213 sayılı Vergi Usul Kanunu hükümlerine göre düzenlenir; e-fatura ve e-arşiv zorunluluklarına uyulur.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13.3. Katma değer vergisi bakımından; yurt dışına verilen hizmetlerde hizmet ihracı istisnası (3065 sayılı Kanun m. 11-12), yurt dışından alınan hizmetlerde ise sorumlu sıfatıyla KDV (m. 9) hükümleri her fatura dönemi itibarıyla değerlendirilir.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13.4. Stopaj ve çifte vergilendirme konularında, Türkiye Cumhuriyeti ile Büyük Britanya ve Kuzey İrlanda Birleşik Krallığı arasındaki Çifte Vergilendirmeyi Önleme Anlaşması hükümleri uygulanır; mukimlik belgesi her yıl temin edilerek karşı Tarafa iletilir.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13.5. 7194 sayılı Kanun kapsamındaki dijital hizmet vergisi yükümlülüğünün doğup doğmadığı yıllık olarak değerlendirilir ve sonucu yazılı olarak kayda geçirilir.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13.6. Taraflardan biri Türkiye dışında yerleşik olduğundan, Türk Parası Kıymetini Koruma Hakkında 32 Sayılı Karar m. 4/g kapsamındaki kısıtlama uygulanmaz; bedel döviz cinsinden kararlaştırılabilir.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13.7. Damga vergisi: 488 sayılı Damga Vergisi Kanunu uyarınca doğacak damga vergisi [ ] i stoc [ ] MOGEM [ ] eşit olarak Taraflarca ödenir.</w:t>
      </w:r>
    </w:p>
    <w:p>
      <w:pPr>
        <w:keepNext/>
        <w:spacing w:after="80" w:before="180" w:line="230"/>
        <w:jc w:val="left"/>
      </w:pPr>
      <w:r>
        <w:rPr>
          <w:rFonts w:ascii="Times New Roman" w:cs="Times New Roman" w:eastAsia="Times New Roman" w:hAnsi="Times New Roman"/>
          <w:b/>
          <w:bCs/>
          <w:caps w:val="false"/>
          <w:sz w:val="22"/>
          <w:szCs w:val="22"/>
        </w:rPr>
        <w:t xml:space="preserve">MADDE 14 — VERGİSEL STATÜ; İŞYERİ VE DAİMİ TEMSİLCİLİK</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14.1. Tarafların ortak iradesi, MOGEM’in işbu Sözleşme kapsamındaki faaliyetlerinin i stoc bakımından Türkiye’de 213 sayılı Kanun m. 156 anlamında bir işyeri ya da 5520 sayılı Kanun m. 3 ve Çifte Vergilendirmeyi Önleme Anlaşması m. 5 anlamında daimi temsilcilik/işyeri oluşturmaması yönündedir.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14.2. MOGEM, i stoc adına ve hesabına sözleşme akdetme yetkisini yalnızca EK-1 Yetki Belgesinde açıkça izin verilen tip sözleşmeler ve sınırlar dâhilinde kullanır; bunun dışındaki işlemlerde kendi adına ve hesabına hareket eder. Bu hususun vergisel sonuçları yılda en az bir kez yeminli mali müşavir görüşü ile değerlendirilir ve sonucu yazılı olarak kayda geçirilir.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14.3. İdare tarafından bir işyeri veya daimi temsilcilik oluştuğunun tespiti hâlinde Taraflar Sözleşmeyi iyiniyetle ve gecikmeksizin revize eder; doğan vergi yükü ilgili mevzuat uyarınca yükümlüsü tarafından karşılanır.</w:t>
      </w:r>
    </w:p>
    <w:p>
      <w:pPr>
        <w:keepNext/>
        <w:spacing w:after="80" w:before="180" w:line="230"/>
        <w:jc w:val="left"/>
      </w:pPr>
      <w:r>
        <w:rPr>
          <w:rFonts w:ascii="Times New Roman" w:cs="Times New Roman" w:eastAsia="Times New Roman" w:hAnsi="Times New Roman"/>
          <w:b/>
          <w:bCs/>
          <w:caps w:val="false"/>
          <w:sz w:val="22"/>
          <w:szCs w:val="22"/>
        </w:rPr>
        <w:t xml:space="preserve">MADDE 15 — BAĞIMSIZLIK; ORTAKLIK VE ACENTELİK İLİŞKİSİNİN BULUNMAMASI</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15.1. Taraflar birbirinden bağımsız tacirlerdir. İşbu Sözleşme adi ortaklık, iş ortaklığı, franchise veya işçi-işveren ilişkisi doğurmaz; MOGEM personeli hiçbir şekilde i stoc’un personeli sayılmaz.</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15.2. Tarafların iradesi, TTK m. 102 vd. anlamında acentelik ilişkisi kurulmaması yönündedir. Buna rağmen ilişkinin yargı mercilerince acentelik olarak nitelendirilmesi hâlinde, TTK m. 122 uyarınca doğabilecek denkleştirme isteminin hesabında MOGEM’in son beş yıllık ortalama net komisyon geliri esas alınır. Taraflar, TTK m. 122/4 uyarınca denkleştirme isteminden Sözleşmenin sona ermesinden önce vazgeçilemeyeceğini bilerek işbu hükmü kabul etmiştir.</w:t>
      </w:r>
    </w:p>
    <w:p>
      <w:pPr>
        <w:keepNext/>
        <w:spacing w:after="80" w:before="180" w:line="230"/>
        <w:jc w:val="left"/>
      </w:pPr>
      <w:r>
        <w:rPr>
          <w:rFonts w:ascii="Times New Roman" w:cs="Times New Roman" w:eastAsia="Times New Roman" w:hAnsi="Times New Roman"/>
          <w:b/>
          <w:bCs/>
          <w:caps w:val="false"/>
          <w:sz w:val="22"/>
          <w:szCs w:val="22"/>
        </w:rPr>
        <w:t xml:space="preserve">MADDE 16 — BEYAN VE TAAHHÜTLER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16.1. i stoc; Marka ve Alan Adı üzerinde tasarruf yetkisini haiz olduğunu, işbu lisansı vermeye yetkili bulunduğunu ve bildiği kadarıyla üçüncü kişilerin bu haklar üzerinde üstün bir hak sahibi olmadığını beyan eder.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16.2. MOGEM; faaliyetleri için gerekli izin, belge, personel ve teknik altyapıya sahip olduğunu, işlerini TTK m. 18/2 uyarınca basiretli bir tacir gibi yürüteceğini beyan ve taahhüt eder.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16.3. Taraflar; Çarşı Yönetimi dâhil hiçbir üçüncü kişinin marka, unvan veya tanıtım vasıtalarını kullanmayacaklarını, bu kişiler hakkında kötüleyici veya yanıltıcı beyanda bulunmayacaklarını (TTK m. 55/1-a-1) karşılıklı olarak taahhüt eder.</w:t>
      </w:r>
    </w:p>
    <w:p>
      <w:pPr>
        <w:keepNext/>
        <w:spacing w:after="80" w:before="180" w:line="230"/>
        <w:jc w:val="left"/>
      </w:pPr>
      <w:r>
        <w:rPr>
          <w:rFonts w:ascii="Times New Roman" w:cs="Times New Roman" w:eastAsia="Times New Roman" w:hAnsi="Times New Roman"/>
          <w:b/>
          <w:bCs/>
          <w:caps w:val="false"/>
          <w:sz w:val="22"/>
          <w:szCs w:val="22"/>
        </w:rPr>
        <w:t xml:space="preserve">MADDE 17 — SORUMLULUK VE TAZMİN</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17.1. Marka koruması: i stoc, Marka ve Alan Adının işbu Sözleşmeye ve EK-2’ye uygun kullanımından kaynaklanan Üçüncü Kişi İddialarına karşı MOGEM’i savunur; bu iddialar sonucunda MOGEM aleyhine hükmedilecek tazminat, idari para cezası ve makul savunma giderlerini karşılar. Bu koruma, MOGEM’in Madde 6, 7 ve 8 ile EK-2’ye aykırı kullanımları bakımından uygulanmaz.</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17.2. MOGEM; yetki aşımı, mevzuata aykırılık, EK-2 ihlali, gizlilik ve kişisel veri ihlallerinden doğan her türlü zararı i stoc’a tazmin eder.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17.3. Tarafların sorumluluğu kural olarak doğrudan zararlarla sınırlıdır; dolaylı zarar ve kâr kaybı talep edilemez. Ancak kast, ağır ihmal, fikri ve sınai mülkiyet hakkı ihlali, gizlilik ve KVKK ihlallerinde bu sınırlama uygulanmaz.</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17.4. Madde 6/1-b, Madde 7 veya Madde 8’in ihlali hâlinde MOGEM, her bir ihlal için [__________] tutarında cezai şart öder (TBK m. 179). i stoc’un fazlaya ilişkin zararını talep etme ve aynen ifayı isteme hakkı saklıdır (TBK m. 180).</w:t>
      </w:r>
    </w:p>
    <w:p>
      <w:pPr>
        <w:keepNext/>
        <w:spacing w:after="80" w:before="180" w:line="230"/>
        <w:jc w:val="left"/>
      </w:pPr>
      <w:r>
        <w:rPr>
          <w:rFonts w:ascii="Times New Roman" w:cs="Times New Roman" w:eastAsia="Times New Roman" w:hAnsi="Times New Roman"/>
          <w:b/>
          <w:bCs/>
          <w:caps w:val="false"/>
          <w:sz w:val="22"/>
          <w:szCs w:val="22"/>
        </w:rPr>
        <w:t xml:space="preserve">MADDE 18 — GİZLİLİK</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18.1. Taraflar, Sözleşme kapsamında öğrendikleri ticari sır, Üye İşletme listeleri, fiyat ve komisyon bilgileri, teknik veriler ile hukuki strateji belgelerini gizli tutar; üçüncü kişilere açıklayamaz ve Sözleşme amacı dışında kullanamaz.</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18.2. Gizlilik yükümlülüğü Sözleşmenin sona ermesinden itibaren 5 (beş) yıl süreyle devam eder. Kanun veya yetkili merci kararı gereği yapılan açıklamalar ihlal sayılmaz; bu hâlde açıklamayı yapan Taraf diğerini önceden bilgilendirir.</w:t>
      </w:r>
    </w:p>
    <w:p>
      <w:pPr>
        <w:keepNext/>
        <w:spacing w:after="80" w:before="180" w:line="230"/>
        <w:jc w:val="left"/>
      </w:pPr>
      <w:r>
        <w:rPr>
          <w:rFonts w:ascii="Times New Roman" w:cs="Times New Roman" w:eastAsia="Times New Roman" w:hAnsi="Times New Roman"/>
          <w:b/>
          <w:bCs/>
          <w:caps w:val="false"/>
          <w:sz w:val="22"/>
          <w:szCs w:val="22"/>
        </w:rPr>
        <w:t xml:space="preserve">MADDE 19 — SÜRE VE FESİH</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19.1. Sözleşme, yürürlük tarihinden itibaren [3 (üç)] yıl süreyle geçerlidir. Süre bitiminden en az [90] gün önce yazılı fesih bildirimi yapılmadıkça birer yıllık dönemler hâlinde kendiliğinden uzar.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19.2. Olağan fesih: Her Taraf, [90] gün önceden yazılı bildirimde bulunmak kaydıyla Sözleşmeyi tazminatsız feshedebilir.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19.3. Haklı nedenle derhâl fesih: (a) Madde 6, 7, 8 veya 9’un ihlali; (b) MOGEM’in Marka veya Alan Adı üzerinde hak iddia etmesi ya da benzer bir kayıt yaptırması; (c) iflas, konkordato, ödeme güçlüğü veya faaliyetin durması; (d) Markanın itibarını zedeleyen davranışlar; (e) yetkisiz devir veya alt temsilci ataması hâllerinde karşı Taraf Sözleşmeyi derhâl feshedebilir.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19.4. TBK m. 512 uyarınca vekâletin her zaman geri alınabileceği saklıdır. i stoc, temsil yetkisini her zaman tek taraflı olarak geri alabilir, geri alma keyfiyetini ilgili mercilere ve üçüncü kişilere duyurabilir.</w:t>
      </w:r>
    </w:p>
    <w:p>
      <w:pPr>
        <w:keepNext/>
        <w:spacing w:after="80" w:before="180" w:line="230"/>
        <w:jc w:val="left"/>
      </w:pPr>
      <w:r>
        <w:rPr>
          <w:rFonts w:ascii="Times New Roman" w:cs="Times New Roman" w:eastAsia="Times New Roman" w:hAnsi="Times New Roman"/>
          <w:b/>
          <w:bCs/>
          <w:caps w:val="false"/>
          <w:sz w:val="22"/>
          <w:szCs w:val="22"/>
        </w:rPr>
        <w:t xml:space="preserve">MADDE 20 — SONA ERMENİN SONUÇLARI</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20.1. Sözleşmenin sona ermesiyle MOGEM’in Marka ve Alan Adına ilişkin tüm kullanım hakkı kendiliğinden sona erer. MOGEM, Markayı taşıyan tüm dijital ve fiziki materyalleri en geç 15 (on beş) gün içinde kaldırır veya imha eder.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20.2. MOGEM adına kayıtlı bulunan tüm alan adları, sosyal medya hesapları, uygulama mağazası hesapları, reklam hesapları, marka başvuru ve tescilleri ile Platforma ilişkin teknik erişim bilgileri, hiçbir bedel talep edilmeksizin i stoc’a veya göstereceği kişiye devredilir. Marka devirleri SMK m. 148 uyarınca yazılı şekilde ve noter huzurunda yapılır; MOGEM devir için gerekli tüm belgeleri imzalamayı gayrikabili rücû olarak taahhüt eder.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20.3. Üye İşletme sözleşmeleri, i stoc’un talebi hâlinde i stoc’a veya göstereceği kişiye devredilir; Üye İşletmelere yapılacak bilgilendirmenin içeriğini i stoc belirler.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20.4. Devir yükümlülüğünün yerine getirilmemesi hâlinde işbu Sözleşme, ilgili sicil, kayıt kuruluşu ve yargı mercileri nezdinde i stoc’un hak sahipliğini ve MOGEM’in devir taahhüdünü ispat eden belge niteliğindedir.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20.5. Madde 6/1-b, 10, 17, 18, 20, 21 ve 24 hükümleri, Sözleşmenin sona ermesinden sonra da yürürlükte kalır.</w:t>
      </w:r>
    </w:p>
    <w:p>
      <w:pPr>
        <w:keepNext/>
        <w:spacing w:after="80" w:before="180" w:line="230"/>
        <w:jc w:val="left"/>
      </w:pPr>
      <w:r>
        <w:rPr>
          <w:rFonts w:ascii="Times New Roman" w:cs="Times New Roman" w:eastAsia="Times New Roman" w:hAnsi="Times New Roman"/>
          <w:b/>
          <w:bCs/>
          <w:caps w:val="false"/>
          <w:sz w:val="22"/>
          <w:szCs w:val="22"/>
        </w:rPr>
        <w:t xml:space="preserve">MADDE 21 — REKABET ETMEME VE AYARTMA YASAĞI</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21.1. MOGEM, Sözleşme süresince Türkiye’de rakip bir elektronik ticaret pazar yerini işletemez, temsil edemez veya bunlara ortak olamaz.</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21.2. Sözleşmenin sona ermesinden itibaren 1 (bir) yıl süreyle MOGEM, Türkiye’de aynı iş kolunda Marka ile karıştırılmaya yol açabilecek bir ibare kullanamaz. İşbu rekabet yasağı, 4054 sayılı Kanun ve Dikey Anlaşmalara İlişkin 2002/2 sayılı Grup Muafiyeti Tebliği’nin öngördüğü azami süre ve kapsam sınırları içinde geçerlidir.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21.3. MOGEM, Sözleşme süresince ve sona ermesinden itibaren 1 (bir) yıl boyunca Üye İşletmeleri ve i stoc çalışanlarını ayartamaz.</w:t>
      </w:r>
    </w:p>
    <w:p>
      <w:pPr>
        <w:keepNext/>
        <w:spacing w:after="80" w:before="180" w:line="230"/>
        <w:jc w:val="left"/>
      </w:pPr>
      <w:r>
        <w:rPr>
          <w:rFonts w:ascii="Times New Roman" w:cs="Times New Roman" w:eastAsia="Times New Roman" w:hAnsi="Times New Roman"/>
          <w:b/>
          <w:bCs/>
          <w:caps w:val="false"/>
          <w:sz w:val="22"/>
          <w:szCs w:val="22"/>
        </w:rPr>
        <w:t xml:space="preserve">MADDE 22 — DEVİR, ALT YÜKLENİCİ VE MÜCBİR SEBEP</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22.1. MOGEM, Sözleşmeden doğan hak ve borçlarını üçüncü kişilere devredemez. i stoc, Sözleşmeyi kendi grup şirketlerine devredebilir ve bu devri MOGEM’e bildirir.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22.2. Alt yüklenici kullanımı i stoc’un yazılı onayına tabidir. MOGEM, alt yüklenicilerinin fiillerinden kendi fiili gibi sorumludur.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22.3. Mücbir sebep hâlinde etkilenen Tarafın yükümlülükleri askıya alınır. Mücbir sebep 30 (otuz) günü aşarsa her Taraf Sözleşmeyi tazminatsız feshedebilir.</w:t>
      </w:r>
    </w:p>
    <w:p>
      <w:pPr>
        <w:keepNext/>
        <w:spacing w:after="80" w:before="180" w:line="230"/>
        <w:jc w:val="left"/>
      </w:pPr>
      <w:r>
        <w:rPr>
          <w:rFonts w:ascii="Times New Roman" w:cs="Times New Roman" w:eastAsia="Times New Roman" w:hAnsi="Times New Roman"/>
          <w:b/>
          <w:bCs/>
          <w:caps w:val="false"/>
          <w:sz w:val="22"/>
          <w:szCs w:val="22"/>
        </w:rPr>
        <w:t xml:space="preserve">MADDE 23 — BİLDİRİMLER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23.1. Bildirimler yazılı şekilde; kayıtlı elektronik posta (TTK m. 18/3), noter, iadeli taahhütlü posta veya Tarafların başlıkta belirtilen e-posta adresleri üzerinden yapılır.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23.2. Adres, KEP veya e-posta değişiklikleri 5 (beş) iş günü içinde karşı Tarafa bildirilir. Bildirilmediği takdirde eski adrese yapılan tebligat geçerli sayılır (7201 sayılı Tebligat Kanunu m. 35 kıyasen).</w:t>
      </w:r>
    </w:p>
    <w:p>
      <w:pPr>
        <w:keepNext/>
        <w:spacing w:after="80" w:before="180" w:line="230"/>
        <w:jc w:val="left"/>
      </w:pPr>
      <w:r>
        <w:rPr>
          <w:rFonts w:ascii="Times New Roman" w:cs="Times New Roman" w:eastAsia="Times New Roman" w:hAnsi="Times New Roman"/>
          <w:b/>
          <w:bCs/>
          <w:caps w:val="false"/>
          <w:sz w:val="22"/>
          <w:szCs w:val="22"/>
        </w:rPr>
        <w:t xml:space="preserve">MADDE 24 — UYGULANACAK HUKUK VE UYUŞMAZLIKLARIN ÇÖZÜMÜ</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24.1. İşbu Sözleşmeye ve Sözleşmeden doğan uyuşmazlıklara Türk hukuku uygulanır.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24.2. Konusu bir miktar paranın ödenmesi olan alacak ve tazminat talepleri bakımından, TTK m. 5/A uyarınca arabulucuya başvurulmuş olması dava şartıdır.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24.3. Uyuşmazlıkların çözümünde İstanbul (Çağlayan) Mahkemeleri ve İcra Daireleri yetkilidir. Marka ve sınai mülkiyet hakkına ilişkin uyuşmazlıklarda SMK m. 156 uyarınca İstanbul Fikrî ve Sınaî Haklar Hukuk Mahkemeleri görevlidir.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24.4. Taraflar dilerlerse ayrı bir yazılı ek protokol ile uyuşmazlıkların İstanbul Tahkim Merkezi (ISTAC) Tahkim Kuralları uyarınca tahkim yoluyla çözülmesini kararlaştırabilir.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24.5. Alan Adına ilişkin olarak ICANN Yeknesak Alan Adı Uyuşmazlık Çözüm Politikası (UDRP) kapsamında yürütülecek süreçler saklıdır. Bu sürece başvurulmuş olması, Tarafların Türk mahkemeleri önündeki dava ve talep haklarını ortadan kaldırmaz.</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24.6. i stoc’un, hakkının ihlali hâlinde ihtiyati tedbir ve ihtiyati haciz dâhil geçici hukuki koruma talep etme hakkı, arabuluculuk ve tahkim hükümlerinden bağımsız olarak her zaman saklıdır.</w:t>
      </w:r>
    </w:p>
    <w:p>
      <w:pPr>
        <w:keepNext/>
        <w:spacing w:after="80" w:before="180" w:line="230"/>
        <w:jc w:val="left"/>
      </w:pPr>
      <w:r>
        <w:rPr>
          <w:rFonts w:ascii="Times New Roman" w:cs="Times New Roman" w:eastAsia="Times New Roman" w:hAnsi="Times New Roman"/>
          <w:b/>
          <w:bCs/>
          <w:caps w:val="false"/>
          <w:sz w:val="22"/>
          <w:szCs w:val="22"/>
        </w:rPr>
        <w:t xml:space="preserve">MADDE 25 — MUHTELİF HÜKÜMLER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25.1. Sözleşmenin bir hükmünün geçersiz sayılması diğer hükümlerin geçerliliğini etkilemez; geçersiz hüküm, Tarafların amacına en yakın geçerli hükümle değiştirilir.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25.2. Bir hakkın kullanılmaması veya geç kullanılması o haktan feragat anlamına gelmez.</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25.3. İşbu Sözleşme ve ekleri, konusuna ilişkin tam mutabakatı oluşturur ve önceki tüm yazılı/sözlü görüşmelerin yerine geçer. Ekler Sözleşmenin ayrılmaz parçasıdır.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25.4. Sözleşmede yapılacak her türlü değişiklik yazılı ve Tarafların yetkili temsilcilerince imzalanmış olmak şartıyla geçerlidir.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25.5. Sözleşmenin asıl dili Türkçedir. İngilizce çeviri ile Türkçe metin arasında çelişki bulunması hâlinde Türkçe metin esas alınır.</w:t>
      </w:r>
    </w:p>
    <w:p>
      <w:pPr>
        <w:spacing w:after="80" w:before="0" w:line="250"/>
        <w:jc w:val="both"/>
      </w:pPr>
      <w:r>
        <w:rPr>
          <w:rFonts w:ascii="Times New Roman" w:cs="Times New Roman" w:eastAsia="Times New Roman" w:hAnsi="Times New Roman"/>
          <w:b w:val="false"/>
          <w:bCs w:val="false"/>
          <w:i w:val="false"/>
          <w:iCs w:val="false"/>
          <w:sz w:val="21"/>
          <w:szCs w:val="21"/>
        </w:rPr>
        <w:t xml:space="preserve">25.6. İşbu Sözleşme 25 (yirmi beş) madde ve 4 (dört) ekten ibaret olup, [__/__/20__] tarihinde 2 (iki) nüsha olarak düzenlenmiş ve Tarafların yetkili temsilcilerince imza altına alınmıştır.</w:t>
      </w:r>
    </w:p>
    <w:p>
      <w:pPr>
        <w:spacing w:after="120" w:before="0" w:line="250"/>
        <w:jc w:val="both"/>
      </w:pPr>
      <w:r>
        <w:rPr>
          <w:rFonts w:ascii="Times New Roman" w:cs="Times New Roman" w:eastAsia="Times New Roman" w:hAnsi="Times New Roman"/>
          <w:b w:val="false"/>
          <w:bCs w:val="false"/>
          <w:i w:val="false"/>
          <w:iCs w:val="false"/>
          <w:sz w:val="21"/>
          <w:szCs w:val="21"/>
        </w:rPr>
        <w:t xml:space="preserve"/>
      </w:r>
    </w:p>
    <w:tbl>
      <w:tblPr>
        <w:tblW w:type="dxa" w:w="9000"/>
        <w:tblBorders>
          <w:top w:val="single" w:color="808080" w:sz="4"/>
          <w:left w:val="single" w:color="808080" w:sz="4"/>
          <w:bottom w:val="single" w:color="808080" w:sz="4"/>
          <w:right w:val="single" w:color="808080" w:sz="4"/>
          <w:insideH w:val="single" w:color="BFBFBF" w:sz="4"/>
          <w:insideV w:val="single" w:color="BFBFBF" w:sz="4"/>
        </w:tblBorders>
      </w:tblPr>
      <w:tblGrid>
        <w:gridCol w:w="4500"/>
        <w:gridCol w:w="4500"/>
      </w:tblGrid>
      <w:tr>
        <w:tc>
          <w:tcPr>
            <w:tcW w:type="dxa" w:w="4500"/>
            <w:shd w:fill="EEEEEE" w:color="auto" w:val="clear"/>
            <w:tcMar>
              <w:top w:type="dxa" w:w="60"/>
              <w:left w:type="dxa" w:w="100"/>
              <w:bottom w:type="dxa" w:w="60"/>
              <w:right w:type="dxa" w:w="100"/>
            </w:tcMar>
          </w:tcPr>
          <w:p>
            <w:pPr>
              <w:spacing w:after="0" w:line="220"/>
              <w:jc w:val="center"/>
            </w:pPr>
            <w:r>
              <w:rPr>
                <w:rFonts w:ascii="Times New Roman" w:cs="Times New Roman" w:eastAsia="Times New Roman" w:hAnsi="Times New Roman"/>
                <w:b/>
                <w:bCs/>
                <w:sz w:val="21"/>
                <w:szCs w:val="21"/>
              </w:rPr>
              <w:t xml:space="preserve">i stoc limited company</w:t>
            </w:r>
          </w:p>
        </w:tc>
        <w:tc>
          <w:tcPr>
            <w:tcW w:type="dxa" w:w="4500"/>
            <w:shd w:fill="EEEEEE" w:color="auto" w:val="clear"/>
            <w:tcMar>
              <w:top w:type="dxa" w:w="60"/>
              <w:left w:type="dxa" w:w="100"/>
              <w:bottom w:type="dxa" w:w="60"/>
              <w:right w:type="dxa" w:w="100"/>
            </w:tcMar>
          </w:tcPr>
          <w:p>
            <w:pPr>
              <w:spacing w:after="0" w:line="220"/>
              <w:jc w:val="center"/>
            </w:pPr>
            <w:r>
              <w:rPr>
                <w:rFonts w:ascii="Times New Roman" w:cs="Times New Roman" w:eastAsia="Times New Roman" w:hAnsi="Times New Roman"/>
                <w:b/>
                <w:bCs/>
                <w:sz w:val="21"/>
                <w:szCs w:val="21"/>
              </w:rPr>
              <w:t xml:space="preserve">Mogem Elektronik Ticaret Ltd. Şti.</w:t>
            </w:r>
          </w:p>
        </w:tc>
      </w:tr>
      <w:tr>
        <w:tc>
          <w:tcPr>
            <w:tcW w:type="dxa" w:w="4500"/>
            <w:tcMar>
              <w:top w:type="dxa" w:w="60"/>
              <w:left w:type="dxa" w:w="100"/>
              <w:bottom w:type="dxa" w:w="260"/>
              <w:right w:type="dxa" w:w="100"/>
            </w:tcMar>
          </w:tcPr>
          <w:p>
            <w:pPr>
              <w:spacing w:after="60" w:before="0" w:line="250"/>
              <w:jc w:val="left"/>
            </w:pPr>
            <w:r>
              <w:rPr>
                <w:rFonts w:ascii="Times New Roman" w:cs="Times New Roman" w:eastAsia="Times New Roman" w:hAnsi="Times New Roman"/>
                <w:b w:val="false"/>
                <w:bCs w:val="false"/>
                <w:i w:val="false"/>
                <w:iCs w:val="false"/>
                <w:sz w:val="21"/>
                <w:szCs w:val="21"/>
              </w:rPr>
              <w:t xml:space="preserve">Ad Soyad: [____________________]</w:t>
            </w:r>
          </w:p>
          <w:p>
            <w:pPr>
              <w:spacing w:after="60" w:before="0" w:line="250"/>
              <w:jc w:val="left"/>
            </w:pPr>
            <w:r>
              <w:rPr>
                <w:rFonts w:ascii="Times New Roman" w:cs="Times New Roman" w:eastAsia="Times New Roman" w:hAnsi="Times New Roman"/>
                <w:b w:val="false"/>
                <w:bCs w:val="false"/>
                <w:i w:val="false"/>
                <w:iCs w:val="false"/>
                <w:sz w:val="21"/>
                <w:szCs w:val="21"/>
              </w:rPr>
              <w:t xml:space="preserve">Sıfat: Director</w:t>
            </w:r>
          </w:p>
          <w:p>
            <w:pPr>
              <w:spacing w:after="0" w:before="0" w:line="250"/>
              <w:jc w:val="left"/>
            </w:pPr>
            <w:r>
              <w:rPr>
                <w:rFonts w:ascii="Times New Roman" w:cs="Times New Roman" w:eastAsia="Times New Roman" w:hAnsi="Times New Roman"/>
                <w:b w:val="false"/>
                <w:bCs w:val="false"/>
                <w:i w:val="false"/>
                <w:iCs w:val="false"/>
                <w:sz w:val="21"/>
                <w:szCs w:val="21"/>
              </w:rPr>
              <w:t xml:space="preserve">İmza / Kaşe:</w:t>
            </w:r>
          </w:p>
        </w:tc>
        <w:tc>
          <w:tcPr>
            <w:tcW w:type="dxa" w:w="4500"/>
            <w:tcMar>
              <w:top w:type="dxa" w:w="60"/>
              <w:left w:type="dxa" w:w="100"/>
              <w:bottom w:type="dxa" w:w="260"/>
              <w:right w:type="dxa" w:w="100"/>
            </w:tcMar>
          </w:tcPr>
          <w:p>
            <w:pPr>
              <w:spacing w:after="60" w:before="0" w:line="250"/>
              <w:jc w:val="left"/>
            </w:pPr>
            <w:r>
              <w:rPr>
                <w:rFonts w:ascii="Times New Roman" w:cs="Times New Roman" w:eastAsia="Times New Roman" w:hAnsi="Times New Roman"/>
                <w:b w:val="false"/>
                <w:bCs w:val="false"/>
                <w:i w:val="false"/>
                <w:iCs w:val="false"/>
                <w:sz w:val="21"/>
                <w:szCs w:val="21"/>
              </w:rPr>
              <w:t xml:space="preserve">Ad Soyad: [____________________]</w:t>
            </w:r>
          </w:p>
          <w:p>
            <w:pPr>
              <w:spacing w:after="60" w:before="0" w:line="250"/>
              <w:jc w:val="left"/>
            </w:pPr>
            <w:r>
              <w:rPr>
                <w:rFonts w:ascii="Times New Roman" w:cs="Times New Roman" w:eastAsia="Times New Roman" w:hAnsi="Times New Roman"/>
                <w:b w:val="false"/>
                <w:bCs w:val="false"/>
                <w:i w:val="false"/>
                <w:iCs w:val="false"/>
                <w:sz w:val="21"/>
                <w:szCs w:val="21"/>
              </w:rPr>
              <w:t xml:space="preserve">Sıfat: Müdür / Temsile Yetkili</w:t>
            </w:r>
          </w:p>
          <w:p>
            <w:pPr>
              <w:spacing w:after="0" w:before="0" w:line="250"/>
              <w:jc w:val="left"/>
            </w:pPr>
            <w:r>
              <w:rPr>
                <w:rFonts w:ascii="Times New Roman" w:cs="Times New Roman" w:eastAsia="Times New Roman" w:hAnsi="Times New Roman"/>
                <w:b w:val="false"/>
                <w:bCs w:val="false"/>
                <w:i w:val="false"/>
                <w:iCs w:val="false"/>
                <w:sz w:val="21"/>
                <w:szCs w:val="21"/>
              </w:rPr>
              <w:t xml:space="preserve">İmza / Kaşe:</w:t>
            </w:r>
          </w:p>
        </w:tc>
      </w:tr>
    </w:tbl>
    <w:p>
      <w:pPr>
        <w:keepNext/>
        <w:spacing w:after="80" w:before="180" w:line="230"/>
        <w:jc w:val="left"/>
      </w:pPr>
      <w:r>
        <w:rPr>
          <w:rFonts w:ascii="Times New Roman" w:cs="Times New Roman" w:eastAsia="Times New Roman" w:hAnsi="Times New Roman"/>
          <w:b/>
          <w:bCs/>
          <w:caps w:val="false"/>
          <w:sz w:val="22"/>
          <w:szCs w:val="22"/>
        </w:rPr>
        <w:t xml:space="preserve">EK-1 — YETKİ BELGESİ (ÖZET KAPSAM)</w:t>
      </w:r>
    </w:p>
    <w:p>
      <w:pPr>
        <w:spacing w:after="80" w:before="0" w:line="250"/>
        <w:jc w:val="both"/>
      </w:pPr>
      <w:r>
        <w:rPr>
          <w:rFonts w:ascii="Times New Roman" w:cs="Times New Roman" w:eastAsia="Times New Roman" w:hAnsi="Times New Roman"/>
          <w:b w:val="false"/>
          <w:bCs w:val="false"/>
          <w:i w:val="false"/>
          <w:iCs w:val="false"/>
          <w:sz w:val="21"/>
          <w:szCs w:val="21"/>
        </w:rPr>
        <w:t xml:space="preserve">Aşağıdaki yetkiler MOGEM’e, Türkiye Cumhuriyeti sınırları içinde ve işbu Sözleşme süresince tanınmıştır: (1) i stoc’un Türkiye’deki yasal temsili ve resmî mercilerle yazışma; (2) alıcı ve satıcı ticari işletmelerin onaylı tip sözleşme metinleri üzerinden Platforma kazandırılması; (3) reklam, tanıtım, pazarlama ve halkla ilişkiler faaliyetlerinin yürütülmesi; (4) Marka ve Alan Adının EK-2 sınırları içinde kullanılması; (5) yalnızca ayrıca yetkilendirildiği takdirde tahsilat organizasyonu. Bu belge; dava, sulh, feragat, ikrar, kefalet, garanti, devir, rehin ve alt temsilci atama yetkilerini KAPSAMAZ. Noter onaylı vekâletname düzenlenmesi hâlinde bu kapsam esas alınır.</w:t>
      </w:r>
    </w:p>
    <w:p>
      <w:pPr>
        <w:keepNext/>
        <w:spacing w:after="80" w:before="180" w:line="230"/>
        <w:jc w:val="left"/>
      </w:pPr>
      <w:r>
        <w:rPr>
          <w:rFonts w:ascii="Times New Roman" w:cs="Times New Roman" w:eastAsia="Times New Roman" w:hAnsi="Times New Roman"/>
          <w:b/>
          <w:bCs/>
          <w:caps w:val="false"/>
          <w:sz w:val="22"/>
          <w:szCs w:val="22"/>
        </w:rPr>
        <w:t xml:space="preserve">EK-2 — MARKA YAZIM VE KULLANIM KILAVUZU</w:t>
      </w:r>
    </w:p>
    <w:tbl>
      <w:tblPr>
        <w:tblW w:type="dxa" w:w="9000"/>
        <w:tblBorders>
          <w:top w:val="single" w:color="808080" w:sz="4"/>
          <w:left w:val="single" w:color="808080" w:sz="4"/>
          <w:bottom w:val="single" w:color="808080" w:sz="4"/>
          <w:right w:val="single" w:color="808080" w:sz="4"/>
          <w:insideH w:val="single" w:color="BFBFBF" w:sz="4"/>
          <w:insideV w:val="single" w:color="BFBFBF" w:sz="4"/>
        </w:tblBorders>
      </w:tblPr>
      <w:tblGrid>
        <w:gridCol w:w="4500"/>
        <w:gridCol w:w="4500"/>
      </w:tblGrid>
      <w:tr>
        <w:tc>
          <w:tcPr>
            <w:tcW w:type="dxa" w:w="4500"/>
            <w:shd w:fill="E8F0E8" w:color="auto" w:val="clear"/>
            <w:tcMar>
              <w:top w:type="dxa" w:w="60"/>
              <w:left w:type="dxa" w:w="100"/>
              <w:bottom w:type="dxa" w:w="60"/>
              <w:right w:type="dxa" w:w="100"/>
            </w:tcMar>
          </w:tcPr>
          <w:p>
            <w:pPr>
              <w:spacing w:after="0" w:line="220"/>
              <w:jc w:val="center"/>
            </w:pPr>
            <w:r>
              <w:rPr>
                <w:rFonts w:ascii="Times New Roman" w:cs="Times New Roman" w:eastAsia="Times New Roman" w:hAnsi="Times New Roman"/>
                <w:b/>
                <w:bCs/>
                <w:sz w:val="21"/>
                <w:szCs w:val="21"/>
              </w:rPr>
              <w:t xml:space="preserve">DOĞRU KULLANIM</w:t>
            </w:r>
          </w:p>
        </w:tc>
        <w:tc>
          <w:tcPr>
            <w:tcW w:type="dxa" w:w="4500"/>
            <w:shd w:fill="F5E8E8" w:color="auto" w:val="clear"/>
            <w:tcMar>
              <w:top w:type="dxa" w:w="60"/>
              <w:left w:type="dxa" w:w="100"/>
              <w:bottom w:type="dxa" w:w="60"/>
              <w:right w:type="dxa" w:w="100"/>
            </w:tcMar>
          </w:tcPr>
          <w:p>
            <w:pPr>
              <w:spacing w:after="0" w:line="220"/>
              <w:jc w:val="center"/>
            </w:pPr>
            <w:r>
              <w:rPr>
                <w:rFonts w:ascii="Times New Roman" w:cs="Times New Roman" w:eastAsia="Times New Roman" w:hAnsi="Times New Roman"/>
                <w:b/>
                <w:bCs/>
                <w:sz w:val="21"/>
                <w:szCs w:val="21"/>
              </w:rPr>
              <w:t xml:space="preserve">YASAK KULLANIM</w:t>
            </w:r>
          </w:p>
        </w:tc>
      </w:tr>
      <w:tr>
        <w:tc>
          <w:tcPr>
            <w:tcW w:type="dxa" w:w="45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i stoc  ·  i-stoc  ·  istoc  ·  istoc.com</w:t>
            </w:r>
          </w:p>
        </w:tc>
        <w:tc>
          <w:tcPr>
            <w:tcW w:type="dxa" w:w="45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İSTOÇ  ·  İstoç  ·  istoç  ·  İSTOC (baş harf “İ” ile)</w:t>
            </w:r>
          </w:p>
        </w:tc>
      </w:tr>
      <w:tr>
        <w:tc>
          <w:tcPr>
            <w:tcW w:type="dxa" w:w="45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Telaffuz: “ay-stok”</w:t>
            </w:r>
          </w:p>
        </w:tc>
        <w:tc>
          <w:tcPr>
            <w:tcW w:type="dxa" w:w="45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Telaffuz: “istoç”</w:t>
            </w:r>
          </w:p>
        </w:tc>
      </w:tr>
      <w:tr>
        <w:tc>
          <w:tcPr>
            <w:tcW w:type="dxa" w:w="45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“i stoc, İngiltere merkezli bir e-ticaret markasıdır.”</w:t>
            </w:r>
          </w:p>
        </w:tc>
        <w:tc>
          <w:tcPr>
            <w:tcW w:type="dxa" w:w="45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Çarşı, site, blok, kapı no, kroki, yön tarifi görselleri</w:t>
            </w:r>
          </w:p>
        </w:tc>
      </w:tr>
      <w:tr>
        <w:tc>
          <w:tcPr>
            <w:tcW w:type="dxa" w:w="45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Her mecrada Madde 8 bağlantısızlık beyanı</w:t>
            </w:r>
          </w:p>
        </w:tc>
        <w:tc>
          <w:tcPr>
            <w:tcW w:type="dxa" w:w="45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“İstoç”, “İstoç Çarşı”, “İstoç Toptancılar” anahtar kelime reklamı</w:t>
            </w:r>
          </w:p>
        </w:tc>
      </w:tr>
      <w:tr>
        <w:tc>
          <w:tcPr>
            <w:tcW w:type="dxa" w:w="45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Kurumsal kimlik: i stoc marka kılavuzundaki renk ve tipografi</w:t>
            </w:r>
          </w:p>
        </w:tc>
        <w:tc>
          <w:tcPr>
            <w:tcW w:type="dxa" w:w="4500"/>
            <w:tcMar>
              <w:top w:type="dxa" w:w="60"/>
              <w:left w:type="dxa" w:w="100"/>
              <w:bottom w:type="dxa" w:w="60"/>
              <w:right w:type="dxa" w:w="100"/>
            </w:tcMar>
          </w:tcPr>
          <w:p>
            <w:pPr>
              <w:spacing w:after="0" w:line="220"/>
              <w:jc w:val="left"/>
            </w:pPr>
            <w:r>
              <w:rPr>
                <w:rFonts w:ascii="Times New Roman" w:cs="Times New Roman" w:eastAsia="Times New Roman" w:hAnsi="Times New Roman"/>
                <w:b w:val="false"/>
                <w:bCs w:val="false"/>
                <w:sz w:val="21"/>
                <w:szCs w:val="21"/>
              </w:rPr>
              <w:t xml:space="preserve">Çarşı Yönetiminin renk, amblem ve tanıtım vasıtalarını andıran tasarım</w:t>
            </w:r>
          </w:p>
        </w:tc>
      </w:tr>
    </w:tbl>
    <w:p>
      <w:pPr>
        <w:keepNext/>
        <w:spacing w:after="80" w:before="180" w:line="230"/>
        <w:jc w:val="left"/>
      </w:pPr>
      <w:r>
        <w:rPr>
          <w:rFonts w:ascii="Times New Roman" w:cs="Times New Roman" w:eastAsia="Times New Roman" w:hAnsi="Times New Roman"/>
          <w:b/>
          <w:bCs/>
          <w:caps w:val="false"/>
          <w:sz w:val="22"/>
          <w:szCs w:val="22"/>
        </w:rPr>
        <w:t xml:space="preserve">EK-3 — ÜCRET VE KOMİSYON CETVELİ</w:t>
      </w:r>
    </w:p>
    <w:p>
      <w:pPr>
        <w:spacing w:after="80" w:before="0" w:line="250"/>
        <w:jc w:val="both"/>
      </w:pPr>
      <w:r>
        <w:rPr>
          <w:rFonts w:ascii="Times New Roman" w:cs="Times New Roman" w:eastAsia="Times New Roman" w:hAnsi="Times New Roman"/>
          <w:b w:val="false"/>
          <w:bCs w:val="false"/>
          <w:i w:val="false"/>
          <w:iCs w:val="false"/>
          <w:sz w:val="21"/>
          <w:szCs w:val="21"/>
        </w:rPr>
        <w:t xml:space="preserve">Hizmet bedeli: [__________] · Komisyon oranı: [____] % · Ödeme dönemi: [aylık / üç aylık] · Para birimi: [GBP / EUR / USD / TRY] · Fatura kesim günü: [____] · Ödeme vadesi: fatura tarihinden itibaren [____] gün. Bedel, Madde 13.1 uyarınca emsallere uygunluk ilkesine göre belirlenmiş olup her takvim yılı başında yeniden değerlendirilir.</w:t>
      </w:r>
    </w:p>
    <w:p>
      <w:pPr>
        <w:keepNext/>
        <w:spacing w:after="80" w:before="180" w:line="230"/>
        <w:jc w:val="left"/>
      </w:pPr>
      <w:r>
        <w:rPr>
          <w:rFonts w:ascii="Times New Roman" w:cs="Times New Roman" w:eastAsia="Times New Roman" w:hAnsi="Times New Roman"/>
          <w:b/>
          <w:bCs/>
          <w:caps w:val="false"/>
          <w:sz w:val="22"/>
          <w:szCs w:val="22"/>
        </w:rPr>
        <w:t xml:space="preserve">EK-4 — DELİL VE ÖNCELİK DOSYASI ENVANTERİ</w:t>
      </w:r>
    </w:p>
    <w:p>
      <w:pPr>
        <w:spacing w:after="80" w:before="0" w:line="250"/>
        <w:jc w:val="both"/>
      </w:pPr>
      <w:r>
        <w:rPr>
          <w:rFonts w:ascii="Times New Roman" w:cs="Times New Roman" w:eastAsia="Times New Roman" w:hAnsi="Times New Roman"/>
          <w:b w:val="false"/>
          <w:bCs w:val="false"/>
          <w:i w:val="false"/>
          <w:iCs w:val="false"/>
          <w:sz w:val="21"/>
          <w:szCs w:val="21"/>
        </w:rPr>
        <w:t xml:space="preserve">(1) Alan adı kayıt (WHOIS) tarihi ve registrar sözleşmesi örneği; (2) Companies House tescil belgesi ve unvan tarihçesi; (3) Türkiye ve diğer ülkelerdeki marka başvuru/tescil belgeleri ile Nice sınıfları (özellikle 35, 39 ve 42. sınıflar); (4) Markanın ilk kullanım tarihini gösteren fatura, sözleşme ve reklam kayıtları; (5) Tarihli ekran görüntüleri ve web arşivi kayıtları; (6) Sosyal medya ve basın yayınları; (7) Üye İşletme sayısı ve işlem hacmi raporları; (8) Madde 8 bağlantısızlık beyanının yayımlandığı sayfaların noter tespiti; (9) Reklam hesaplarındaki olumsuz anahtar kelime listelerinin tarihli çıktıları; (10) Üçüncü Kişi İddialarına ilişkin yazışma ve karar örnekleri. Envanter dizi pusulası ile numaralandırılır ve altı ayda bir güncellenir.</w:t>
      </w:r>
    </w:p>
    <w:sectPr>
      <w:headerReference w:type="default" r:id="rId7"/>
      <w:footerReference w:type="default" r:id="rId8"/>
      <w:pgSz w:w="11905" w:h="16837" w:orient="portrait"/>
      <w:pgMar w:top="1020" w:right="1133" w:bottom="907" w:left="1133" w:header="566"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5"/>
        <w:szCs w:val="15"/>
      </w:rPr>
      <w:t xml:space="preserve">Marka, Alan Adı ve Türkiye Temsil Yetkisi Çerçeve Sözleşmesi  ·  Sayfa </w:t>
    </w:r>
    <w:r>
      <w:rPr>
        <w:rFonts w:ascii="Times New Roman" w:cs="Times New Roman" w:eastAsia="Times New Roman" w:hAnsi="Times New Roman"/>
        <w:color w:val="666666"/>
        <w:sz w:val="15"/>
        <w:szCs w:val="15"/>
      </w:rPr>
      <w:fldChar w:fldCharType="begin"/>
      <w:instrText xml:space="preserve">PAGE</w:instrText>
      <w:fldChar w:fldCharType="separate"/>
      <w:fldChar w:fldCharType="end"/>
    </w:r>
    <w:r>
      <w:rPr>
        <w:rFonts w:ascii="Times New Roman" w:cs="Times New Roman" w:eastAsia="Times New Roman" w:hAnsi="Times New Roman"/>
        <w:color w:val="666666"/>
        <w:sz w:val="15"/>
        <w:szCs w:val="15"/>
      </w:rPr>
      <w:t xml:space="preserve"> / </w:t>
    </w:r>
    <w:r>
      <w:rPr>
        <w:rFonts w:ascii="Times New Roman" w:cs="Times New Roman" w:eastAsia="Times New Roman" w:hAnsi="Times New Roman"/>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spacing w:after="60"/>
      <w:jc w:val="right"/>
    </w:pPr>
    <w:r>
      <w:rPr>
        <w:rFonts w:ascii="Times New Roman" w:cs="Times New Roman" w:eastAsia="Times New Roman" w:hAnsi="Times New Roman"/>
        <w:color w:val="666666"/>
        <w:sz w:val="15"/>
        <w:szCs w:val="15"/>
      </w:rPr>
      <w:t xml:space="preserve">i stoc limited company  —  Mogem Elektronik Ticaret Ltd. Şti.  |  GİZLİ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Marka, Alan Adı ve Türkiye Temsil Yetkisi Çerçeve Sözleşmesi</dc:title>
  <dc:creator>i stoc limited company</dc:creator>
  <dc:description>i stoc limited company – Mogem Elektronik Ticaret Ltd. Şti.</dc:description>
  <cp:lastModifiedBy>Un-named</cp:lastModifiedBy>
  <cp:revision>1</cp:revision>
  <dcterms:created xsi:type="dcterms:W3CDTF">2026-09-02T05:23:29.101Z</dcterms:created>
  <dcterms:modified xsi:type="dcterms:W3CDTF">2026-09-02T05:23:29.108Z</dcterms:modified>
</cp:coreProperties>
</file>

<file path=docProps/custom.xml><?xml version="1.0" encoding="utf-8"?>
<Properties xmlns="http://schemas.openxmlformats.org/officeDocument/2006/custom-properties" xmlns:vt="http://schemas.openxmlformats.org/officeDocument/2006/docPropsVTypes"/>
</file>