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olor w:val="2D4A3E"/>
          <w:sz w:val="72"/>
          <w:szCs w:val="72"/>
        </w:rPr>
        <w:t xml:space="preserve">shwn.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Product Decisions</w:t>
      </w:r>
    </w:p>
    <w:p>
      <w:pPr>
        <w:spacing w:before="0" w:after="400"/>
      </w:pPr>
      <w:r>
        <w:rPr>
          <w:rFonts w:ascii="Arial" w:cs="Arial" w:eastAsia="Arial" w:hAnsi="Arial"/>
          <w:color w:val="A8A49E"/>
          <w:sz w:val="22"/>
          <w:szCs w:val="22"/>
        </w:rPr>
        <w:t xml:space="preserve">Global Product Discussion · March 2026</w:t>
      </w:r>
    </w:p>
    <w:p>
      <w:pPr>
        <w:pBdr>
          <w:bottom w:val="single" w:color="E2DFD9" w:sz="4" w:space="1"/>
        </w:pBd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B6860"/>
          <w:sz w:val="22"/>
          <w:szCs w:val="22"/>
        </w:rPr>
        <w:t xml:space="preserve">This document captures decisions made during a structured product discussion on building shwn. for a global audience. It covers naming strategy, global positioning, and a question-by-question resolution of open product issues from the Focus Planner spec.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2DFD9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01 · Global Strategy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Naming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name shwn. remains a live decision but is the strong candidate. Coined alternatives carry a category-building burden too heavy for an early product. Real words in other languages carry uncontrollable baggage and availability issues.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Live — shwn. is the strong candidate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Coined words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Rejected — too much category-building burden for an early product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Real foreign words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Rejected — availability, baggage, uncontrollable connotations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The dot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Open question — parked deliberately, not urgent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Global Tagline Strategy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tagline stays in English everywhere. No per-market localisation.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"Have you shwn. up?" — English, untranslated, globally.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Show up as an English phrase has genuinely crossed over. It appears in motivational contexts across languages largely untranslated. The product's nationality is its philosophy, not a geography. The brand feels like it belongs to no single country — which is a stronger global position than localisation.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English-first, everywhere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Not required at launch — English carries globally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Interface language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English primary — localisation is a later, separate problem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Local-First Architecture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All data is stored locally in the browser. No server, no account, no data leaving the device. This is reframed as a global strength, not a limitation.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Privacy — no regional data compliance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No account friction — zero barrier to entry globally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Works offline — relevant in markets with unreliable connectivity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B6860"/>
          <w:sz w:val="22"/>
          <w:szCs w:val="22"/>
        </w:rPr>
        <w:t xml:space="preserve">The local-first ceiling — no sync, no cross-device history — is noted as a future retention problem to design for early, even if built later.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2DFD9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02 · Focus Planner — Open Questions Resolved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B6860"/>
          <w:sz w:val="22"/>
          <w:szCs w:val="22"/>
        </w:rPr>
        <w:t xml:space="preserve">The Focus Planner spec (v3.1) listed six open questions. All were resolved in this discussion. Decisions are recorded below question by question.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Q1 · Where does the Planner live in navigation?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Resolved: The Planner is not a navigation destination. It is a panel.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The timer is always the ground layer. Everything else is a surface that appears over it.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keyboard shortcut P is already correct — it is a toggle, not navigation. The Planner slides in, the user plans, they dismiss it. The timer was running the whole 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Planner is a panel — always accessible, never a destination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Timer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Always active, always the ground layer — never interrupted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Planner must be lightweight to open and dismiss — no friction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 user can run a session under a Planning focus area while using the Planner — the timer witnesses planning as honest effort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Q2 · Should the timer surface a nudge from the Planner?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Resolved: Yes — but not a nudge. A reflection.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Without the connection, the Planner is just a calendar. The reflection is load-bearing.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A nudge interrupts. A reflection just exists. The timer displays a single muted line showing what the user planned for today — present if a plan exists, absent if it doesn't. No action required, no guilt if ignored.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Ambient reflection — not a nudge, not a notification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Single muted line below timer: "2 sessions of Deep Work planned today"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--ink-soft — never accent, never warning color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Present if plan exists. Silent if no plan. No dismiss button.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Makes the Planner a commitment tool, not just a planning tool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Q3 · What happens to unresolved blocks at week end?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Resolved: Archive. The new week starts clean. History is always honest.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The new week is a clean page — but the history is never rewritten.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Archive unresolved blocks — not rolled over, not deleted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Monday summary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"Last week: 8 of 11 planned sessions completed" — shown once, on open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Re-commitment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User can drag an archived block forward into the new week — one gesture, conscious act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No auto-rollover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Auto-rollover assumes the intention is still valid — that assumption can become guilt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snapshotDuration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 dragged block recalculates as a future block from its new date — does not carry frozen snapshot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Q4 · Should a deadline show a count of planned sessions?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Resolved: Yes — planned session count shown on deadline marker. No sufficiency judgment.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The count is purely descriptive. Here is what you have planned. Never: here is whether that is enough.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Show planned session count on deadline marker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"5 sessions planned" — no percentage, no color change as deadline approaches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Zero sessions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Marker shows no annotation — absence is information, not accusation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At boundary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"3 of 5 planned sessions completed" — shown when deadline day arrives or passes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Yes — earned through explicit commitment, not inferred. See Task++ section.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2DFD9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03 · Task++ — A New Object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most significant decision of this discussion. The deadline concept evolves into something categorically new.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What Task++ Is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A task in every other productivity tool is binary — done or not done. The deadline is just a date attached to that binary. Nothing between now and done is measured or visible.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Task++ keeps the familiar concept — a task with a deadline, universally understood — and adds the one dimension every other tool ignores: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The effort between now and done. How much time you gave it. Whether your actual sessions matched your planned ones.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Object name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Task (familiar, global, no explanation needed)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Has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Name · Due date · Focus Areas · Planned sessions · Actual sessions · Progress record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Not a project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No subtasks, no checklist, no done/not-done binary — shwn. is not a task manager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Tasks tell you what to do. shwn. shows you what you gave.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The Effort Chain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model that connects a session all the way up to a goal — three levels, no friction at the moment of work.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Session → Focus Area → Task++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 session credits a Focus Area — set at session start, already exists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 Focus Area credited during a Task++'s active window credits that Task++ — automatically, silently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No assignment at the timer — the user's only planning decisions are made when setting up the Task++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Shared Focus Areas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A Focus Area can serve multiple Task++ objects simultaneously. A session in Deep Work during a window where both a Project and a Final claim that Focus Area credits both — fully, not divided.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This is honest. The session genuinely contributed to both. Recording it against both is correct.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UI needs one piece of honest framing in the right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Multi-task credit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Sessions may count toward multiple tasks — shown as a quiet note, not a warning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Not split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A session is not divided between tasks — it credits each fully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Total hours across tasks may overlap — the display should not imply uniqueness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Depth Levels — Optional Always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The product has three valid stopping points. None forces the next.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Level 1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Session only — The Sprinter. Start timer. Work. Done. Completely valid.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Level 2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Session → Focus Area — Name what you're working on. Get history. Already powerful.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Level 3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Session → Focus Area → Task++ — Full chain. Effort flows to a goal. Progress visible.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i/>
          <w:iCs/>
          <w:color w:val="6B6860"/>
          <w:sz w:val="22"/>
          <w:szCs w:val="22"/>
        </w:rPr>
        <w:t xml:space="preserve">The Task++ layer is invisible to anyone who doesn't need it. A task can still be created with just a name and a date — in one tap. Everything else layers on top when the user wants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4A3E"/>
          <w:sz w:val="26"/>
          <w:szCs w:val="26"/>
        </w:rPr>
        <w:t xml:space="preserve">Recurring Commitments</w:t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1A1917"/>
          <w:sz w:val="22"/>
          <w:szCs w:val="22"/>
        </w:rPr>
        <w:t xml:space="preserve">A real-world need, explicitly acknowledged. A student giving two sessions to Calculus every Monday — that recurring commitment serves different Task++ objects at different points in the semester (Midterm, then Final).</w:t>
      </w:r>
    </w:p>
    <w:p>
      <w:pPr>
        <w:pBdr>
          <w:left w:val="single" w:color="2D4A3E" w:sz="12" w:space="12"/>
        </w:pBdr>
        <w:spacing w:before="160" w:after="160"/>
        <w:ind w:left="480"/>
      </w:pPr>
      <w:r>
        <w:rPr>
          <w:rFonts w:ascii="Arial" w:cs="Arial" w:eastAsia="Arial" w:hAnsi="Arial"/>
          <w:i/>
          <w:iCs/>
          <w:color w:val="1A1917"/>
          <w:sz w:val="22"/>
          <w:szCs w:val="22"/>
        </w:rPr>
        <w:t xml:space="preserve">The reporting relationship is time-bounded. The Task++ claims a Focus Area for a window of time. Sessions in that Focus Area during that window credit the task. The recurring block does not need to know about the deadline.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E6ED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Recurring commitments: v2 candidate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Task++ claims a Focus Area for a date range — sessions in that window credit automatically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Recurring blocks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Belong to a Focus Area, not a Task++ — the Task++ is the time-bounded claim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Multiple tasks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Same Focus Area can be claimed by multiple tasks in overlapping windows — sessions credit 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2DFD9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04 · Still Open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color w:val="6B6860"/>
          <w:sz w:val="22"/>
          <w:szCs w:val="22"/>
        </w:rPr>
        <w:t xml:space="preserve">Items explicitly parked for future discussion.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The dot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Does shwn. survive stripped of design context — search results, word of mouth?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Local-first ceiling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Sync, accounts, cross-device — design for early, build later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Global audience has no assumed context — Pomodoro, show up, the philosophy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Language audit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"Invested today", "Deep Work" — vocabulary review for global neutrality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Focus Planner IA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Where in broader app navigation — parked pending IA decision</w:t>
            </w:r>
          </w:p>
        </w:tc>
      </w:tr>
      <w:tr>
        <w:tc>
          <w:tcPr>
            <w:tcW w:type="dxa" w:w="280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Recurring (v2)</w:t>
            </w:r>
          </w:p>
        </w:tc>
        <w:tc>
          <w:tcPr>
            <w:tcW w:type="dxa" w:w="6560"/>
            <w:tcBorders>
              <w:top w:val="single" w:color="E2DFD9" w:sz="1"/>
              <w:left w:val="single" w:color="E2DFD9" w:sz="1"/>
              <w:bottom w:val="single" w:color="E2DFD9" w:sz="1"/>
              <w:right w:val="single" w:color="E2DF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6860"/>
                <w:sz w:val="20"/>
                <w:szCs w:val="20"/>
              </w:rPr>
              <w:t xml:space="preserve">Full design of recurring commitments and their Task++ interactions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E2DFD9" w:sz="2" w:space="8"/>
        </w:pBdr>
        <w:spacing w:before="400" w:after="80"/>
      </w:pPr>
      <w:r>
        <w:rPr>
          <w:rFonts w:ascii="Arial" w:cs="Arial" w:eastAsia="Arial" w:hAnsi="Arial"/>
          <w:i/>
          <w:iCs/>
          <w:color w:val="A8A49E"/>
          <w:sz w:val="18"/>
          <w:szCs w:val="18"/>
        </w:rPr>
        <w:t xml:space="preserve">shwn. · Product Decisions · March 2026 · For internal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4A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2026-03-16T01:30:53.335Z</dcterms:created>
  <dcterms:modified xsi:type="dcterms:W3CDTF">2026-03-16T01:30:53.336Z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