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6B" w:rsidRDefault="00655D4E">
      <w:r>
        <w:rPr>
          <w:rFonts w:eastAsia="Times New Roman"/>
          <w:bCs/>
          <w:iCs/>
          <w:color w:val="006BB7"/>
          <w:sz w:val="32"/>
          <w:szCs w:val="28"/>
        </w:rPr>
        <w:t>Customers Led-Network Revolution</w:t>
      </w:r>
      <w:r w:rsidR="00C73D7C">
        <w:rPr>
          <w:rFonts w:eastAsia="Times New Roman"/>
          <w:bCs/>
          <w:iCs/>
          <w:color w:val="006BB7"/>
          <w:sz w:val="32"/>
          <w:szCs w:val="28"/>
        </w:rPr>
        <w:t xml:space="preserve"> – data workflow</w:t>
      </w:r>
      <w:bookmarkStart w:id="0" w:name="_GoBack"/>
      <w:bookmarkEnd w:id="0"/>
    </w:p>
    <w:p w:rsidR="002B0EBE" w:rsidRDefault="00E56AED">
      <w:pPr>
        <w:rPr>
          <w:rFonts w:asciiTheme="minorHAnsi" w:hAnsiTheme="minorHAnsi" w:cstheme="minorHAnsi"/>
          <w:sz w:val="22"/>
        </w:rPr>
      </w:pPr>
      <w:r w:rsidRPr="00E56AED">
        <w:rPr>
          <w:rFonts w:asciiTheme="minorHAnsi" w:hAnsiTheme="minorHAnsi" w:cstheme="minorHAnsi"/>
          <w:sz w:val="22"/>
        </w:rPr>
        <w:t>The Customer-Led Network Revolution project is the largest smart grid demonstration project ever undertaken in the UK</w:t>
      </w:r>
      <w:r>
        <w:rPr>
          <w:rFonts w:asciiTheme="minorHAnsi" w:hAnsiTheme="minorHAnsi" w:cstheme="minorHAnsi"/>
          <w:sz w:val="22"/>
        </w:rPr>
        <w:t>. 13,000 GB of electricity data from customers were collected all over UK providing important information and learning from trials with real customers</w:t>
      </w:r>
      <w:r w:rsidR="001B24CC">
        <w:rPr>
          <w:rFonts w:asciiTheme="minorHAnsi" w:hAnsiTheme="minorHAnsi" w:cstheme="minorHAnsi"/>
          <w:sz w:val="22"/>
        </w:rPr>
        <w:t xml:space="preserve"> on real networks.</w:t>
      </w:r>
      <w:r w:rsidR="00E955E4">
        <w:rPr>
          <w:rFonts w:asciiTheme="minorHAnsi" w:hAnsiTheme="minorHAnsi" w:cstheme="minorHAnsi"/>
          <w:sz w:val="22"/>
        </w:rPr>
        <w:t xml:space="preserve"> Data has been provided by the Northern Power grid.</w:t>
      </w:r>
    </w:p>
    <w:p w:rsidR="001B24CC" w:rsidRDefault="001B24C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The datasets are anonymous and comes from domestic and SME customers. The data comprises electricity consumption and PV (Photo Voltaic) </w:t>
      </w:r>
      <w:r w:rsidR="008D4857">
        <w:rPr>
          <w:rFonts w:asciiTheme="minorHAnsi" w:hAnsiTheme="minorHAnsi" w:cstheme="minorHAnsi"/>
          <w:sz w:val="22"/>
        </w:rPr>
        <w:t xml:space="preserve">generation for individual customers, and related information about the customer, the tariff and the technology being used. </w:t>
      </w:r>
      <w:r w:rsidR="00DB6896">
        <w:rPr>
          <w:rFonts w:asciiTheme="minorHAnsi" w:hAnsiTheme="minorHAnsi" w:cstheme="minorHAnsi"/>
          <w:sz w:val="22"/>
        </w:rPr>
        <w:t>Customers have been indicated as “</w:t>
      </w:r>
      <w:r w:rsidR="00DB6896" w:rsidRPr="00DB6896">
        <w:rPr>
          <w:rFonts w:asciiTheme="minorHAnsi" w:hAnsiTheme="minorHAnsi" w:cstheme="minorHAnsi"/>
          <w:b/>
          <w:sz w:val="22"/>
        </w:rPr>
        <w:t>Location ID</w:t>
      </w:r>
      <w:r w:rsidR="00DB6896">
        <w:rPr>
          <w:rFonts w:asciiTheme="minorHAnsi" w:hAnsiTheme="minorHAnsi" w:cstheme="minorHAnsi"/>
          <w:sz w:val="22"/>
        </w:rPr>
        <w:t>”.</w:t>
      </w:r>
    </w:p>
    <w:p w:rsidR="002B0EBE" w:rsidRDefault="008D485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Data has been provided in csv format for each of the “Test Cells” reported below. </w:t>
      </w:r>
      <w:r w:rsidR="00366FAD">
        <w:rPr>
          <w:rFonts w:asciiTheme="minorHAnsi" w:hAnsiTheme="minorHAnsi" w:cstheme="minorHAnsi"/>
          <w:sz w:val="22"/>
        </w:rPr>
        <w:t xml:space="preserve">Data file for each Test Cell was named </w:t>
      </w:r>
      <w:r w:rsidR="00366FAD" w:rsidRPr="00366FAD">
        <w:rPr>
          <w:rFonts w:asciiTheme="minorHAnsi" w:hAnsiTheme="minorHAnsi" w:cstheme="minorHAnsi"/>
          <w:b/>
          <w:sz w:val="22"/>
        </w:rPr>
        <w:t>“TrialMonitoiringData.csv”</w:t>
      </w:r>
      <w:r w:rsidR="00366FAD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Test cell represent the type of customer who was targeted for data collection. Test cells are referred to different type of customers </w:t>
      </w:r>
      <w:r w:rsidR="00DF0D53">
        <w:rPr>
          <w:rFonts w:asciiTheme="minorHAnsi" w:hAnsiTheme="minorHAnsi" w:cstheme="minorHAnsi"/>
          <w:sz w:val="22"/>
        </w:rPr>
        <w:t>who have different equipment for energy consumption such as, electric vehicles, solar PV and heat pumps.</w:t>
      </w:r>
    </w:p>
    <w:p w:rsidR="00366FAD" w:rsidRPr="00366FAD" w:rsidRDefault="00366FAD">
      <w:r w:rsidRPr="003775A6">
        <w:rPr>
          <w:b/>
        </w:rPr>
        <w:t>Table</w:t>
      </w:r>
      <w:r>
        <w:rPr>
          <w:b/>
        </w:rPr>
        <w:t xml:space="preserve"> 1: </w:t>
      </w:r>
      <w:r>
        <w:t xml:space="preserve">Description of the main fields contained in the file </w:t>
      </w:r>
      <w:r w:rsidRPr="00D2373C">
        <w:rPr>
          <w:b/>
        </w:rPr>
        <w:t>“TrialMonitorignData.csv”</w:t>
      </w:r>
      <w:r w:rsidR="004F0057">
        <w:t>. T</w:t>
      </w:r>
      <w:r>
        <w:t xml:space="preserve">he additional </w:t>
      </w:r>
      <w:r w:rsidR="004F0057">
        <w:t>data field comes from the</w:t>
      </w:r>
      <w:r w:rsidR="00D2373C">
        <w:t xml:space="preserve"> files</w:t>
      </w:r>
      <w:r w:rsidR="004F0057">
        <w:t xml:space="preserve"> </w:t>
      </w:r>
      <w:r w:rsidR="004F0057" w:rsidRPr="00D2373C">
        <w:rPr>
          <w:b/>
        </w:rPr>
        <w:t>“LowCarbonTechnologyMeteringAttributes.csv”</w:t>
      </w:r>
      <w:r w:rsidR="00D2373C">
        <w:t xml:space="preserve">, </w:t>
      </w:r>
      <w:r w:rsidR="00D2373C" w:rsidRPr="00D2373C">
        <w:rPr>
          <w:b/>
        </w:rPr>
        <w:t>“TemperatureData.csv”</w:t>
      </w:r>
      <w:r w:rsidR="00D2373C">
        <w:t xml:space="preserve"> and </w:t>
      </w:r>
      <w:r w:rsidR="00D2373C" w:rsidRPr="00D2373C">
        <w:rPr>
          <w:b/>
        </w:rPr>
        <w:t>“SubGroups.csv”</w:t>
      </w:r>
      <w:r w:rsidR="00D2373C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277"/>
        <w:gridCol w:w="1134"/>
        <w:gridCol w:w="1277"/>
        <w:gridCol w:w="1417"/>
        <w:gridCol w:w="1558"/>
        <w:gridCol w:w="1367"/>
      </w:tblGrid>
      <w:tr w:rsidR="00303E36" w:rsidRPr="00F65A36" w:rsidTr="00C819DA">
        <w:trPr>
          <w:cantSplit/>
          <w:trHeight w:val="624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:rsidR="00303E36" w:rsidRPr="00B3169F" w:rsidRDefault="00303E36" w:rsidP="00E6192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b/>
                <w:bCs/>
                <w:snapToGrid w:val="0"/>
                <w:szCs w:val="20"/>
                <w:lang w:eastAsia="en-GB"/>
              </w:rPr>
              <w:t>Test Cell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E6192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b/>
                <w:bCs/>
                <w:snapToGrid w:val="0"/>
                <w:szCs w:val="20"/>
                <w:lang w:eastAsia="en-GB"/>
              </w:rPr>
              <w:t>Description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E6192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napToGrid w:val="0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b/>
                <w:bCs/>
                <w:snapToGrid w:val="0"/>
                <w:szCs w:val="20"/>
                <w:lang w:eastAsia="en-GB"/>
              </w:rPr>
              <w:t>Customer Type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6134E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Cs w:val="20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Cs w:val="20"/>
                <w:lang w:eastAsia="en-GB"/>
              </w:rPr>
              <w:t xml:space="preserve"> Number</w:t>
            </w:r>
            <w:r w:rsidR="006134E9">
              <w:rPr>
                <w:rFonts w:asciiTheme="minorHAnsi" w:eastAsia="Times New Roman" w:hAnsiTheme="minorHAnsi" w:cstheme="minorHAnsi"/>
                <w:b/>
                <w:bCs/>
                <w:szCs w:val="20"/>
                <w:lang w:eastAsia="en-GB"/>
              </w:rPr>
              <w:t xml:space="preserve"> of customers (Location ID)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E6192A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  <w:t>Measurement description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E6192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  <w:t>Parameter Type and Units</w:t>
            </w:r>
          </w:p>
        </w:tc>
        <w:tc>
          <w:tcPr>
            <w:tcW w:w="758" w:type="pct"/>
            <w:vAlign w:val="center"/>
          </w:tcPr>
          <w:p w:rsidR="00303E36" w:rsidRDefault="00303E36" w:rsidP="00E6192A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  <w:t>Additional</w:t>
            </w:r>
          </w:p>
          <w:p w:rsidR="00303E36" w:rsidRPr="00B3169F" w:rsidRDefault="00303E36" w:rsidP="00E6192A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b/>
                <w:color w:val="000000"/>
                <w:szCs w:val="20"/>
                <w:lang w:eastAsia="en-GB"/>
              </w:rPr>
              <w:t>data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TC1a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Basic profiling of domestic smart meter customers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8798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Electricity supply meter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Consumption in period [kWh]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-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TC1b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Basic profiling of small and medium sized enterprise (SME) customers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SME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1783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Electricity supply meter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Consumption in period [kWh]</w:t>
            </w:r>
          </w:p>
        </w:tc>
        <w:tc>
          <w:tcPr>
            <w:tcW w:w="758" w:type="pct"/>
            <w:vAlign w:val="center"/>
          </w:tcPr>
          <w:p w:rsidR="00303E36" w:rsidRPr="00B3169F" w:rsidRDefault="00E82B18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E82B18">
              <w:rPr>
                <w:rFonts w:asciiTheme="minorHAnsi" w:hAnsiTheme="minorHAnsi" w:cstheme="minorHAnsi"/>
                <w:szCs w:val="20"/>
              </w:rPr>
              <w:t>SubGroups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 data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TC2a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Enhanced profiling of domestic smart meter customers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199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Utilities consumption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Consumption in period [kW]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-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TC3</w:t>
            </w:r>
          </w:p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Heat Pump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Enhanced profiling of domestic customers with air source heat pumps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89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Whole home power import</w:t>
            </w: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Heat pump power consumption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Average power [kW]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Temperature data [degrees Celsius]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lastRenderedPageBreak/>
              <w:t>TC5</w:t>
            </w:r>
          </w:p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PV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Enhanced profiling of domestic customers with solar photovoltaics (PV)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155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Whole home import</w:t>
            </w: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Solar power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Average power [kW]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BF3ED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Low Carbon Technology data. Peak Power [kW]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Default="00303E36" w:rsidP="00303E36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TC6</w:t>
            </w:r>
          </w:p>
          <w:p w:rsidR="00303E36" w:rsidRDefault="00303E36" w:rsidP="00303E36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</w:p>
          <w:p w:rsidR="00303E36" w:rsidRPr="00303E36" w:rsidRDefault="00303E36" w:rsidP="00303E36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Electric Vehicles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Enhanced profiling of domestic customers with Electric Vehicles (EVs)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144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Charge point</w:t>
            </w:r>
          </w:p>
          <w:p w:rsidR="00303E36" w:rsidRPr="00B3169F" w:rsidRDefault="00303E36" w:rsidP="00146218">
            <w:pPr>
              <w:spacing w:after="0"/>
              <w:rPr>
                <w:rFonts w:asciiTheme="minorHAnsi" w:hAnsiTheme="minorHAnsi" w:cstheme="minorHAnsi"/>
                <w:szCs w:val="20"/>
              </w:rPr>
            </w:pPr>
          </w:p>
          <w:p w:rsidR="00303E36" w:rsidRPr="00B3169F" w:rsidRDefault="00303E36" w:rsidP="00146218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House data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Consumption in period [kWh]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-</w:t>
            </w:r>
          </w:p>
        </w:tc>
      </w:tr>
      <w:tr w:rsidR="00303E36" w:rsidRPr="00F65A36" w:rsidTr="00C819DA">
        <w:trPr>
          <w:cantSplit/>
          <w:trHeight w:val="456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TC9a</w:t>
            </w:r>
          </w:p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Time of use tariff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Domestic smart meter customers on time of use tariffs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665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Electricity supply meter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Consumption in period [kWh]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-</w:t>
            </w:r>
          </w:p>
        </w:tc>
      </w:tr>
      <w:tr w:rsidR="00303E36" w:rsidRPr="00F65A36" w:rsidTr="00C819DA">
        <w:trPr>
          <w:cantSplit/>
          <w:trHeight w:val="672"/>
        </w:trPr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TC20 Auto</w:t>
            </w:r>
          </w:p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PV</w:t>
            </w:r>
          </w:p>
        </w:tc>
        <w:tc>
          <w:tcPr>
            <w:tcW w:w="708" w:type="pct"/>
            <w:vMerge w:val="restar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Domestic solar PV customers with  automatic in-premises balancing for hot water charging</w:t>
            </w:r>
          </w:p>
        </w:tc>
        <w:tc>
          <w:tcPr>
            <w:tcW w:w="629" w:type="pct"/>
            <w:vMerge w:val="restar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vMerge w:val="restart"/>
            <w:shd w:val="clear" w:color="auto" w:fill="auto"/>
            <w:vAlign w:val="center"/>
            <w:hideMark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98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Maximum current exported</w:t>
            </w:r>
          </w:p>
          <w:p w:rsidR="00303E36" w:rsidRPr="00B3169F" w:rsidRDefault="00303E36" w:rsidP="00634D0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864" w:type="pct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Highest 1 minute average during period [A]</w:t>
            </w:r>
          </w:p>
        </w:tc>
        <w:tc>
          <w:tcPr>
            <w:tcW w:w="758" w:type="pct"/>
            <w:vMerge w:val="restar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-</w:t>
            </w:r>
          </w:p>
        </w:tc>
      </w:tr>
      <w:tr w:rsidR="00303E36" w:rsidRPr="00F65A36" w:rsidTr="00C819DA">
        <w:trPr>
          <w:cantSplit/>
          <w:trHeight w:val="671"/>
        </w:trPr>
        <w:tc>
          <w:tcPr>
            <w:tcW w:w="547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08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08" w:type="pct"/>
            <w:vMerge/>
            <w:shd w:val="clear" w:color="auto" w:fill="auto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86" w:type="pct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Supply voltage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Average in period [V]</w:t>
            </w:r>
          </w:p>
        </w:tc>
        <w:tc>
          <w:tcPr>
            <w:tcW w:w="758" w:type="pct"/>
            <w:vMerge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03E36" w:rsidRPr="00F65A36" w:rsidTr="00C819DA">
        <w:trPr>
          <w:cantSplit/>
          <w:trHeight w:val="671"/>
        </w:trPr>
        <w:tc>
          <w:tcPr>
            <w:tcW w:w="547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08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08" w:type="pct"/>
            <w:vMerge/>
            <w:shd w:val="clear" w:color="auto" w:fill="auto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86" w:type="pct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Demand current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B3169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Average consumption in period [A]</w:t>
            </w:r>
          </w:p>
        </w:tc>
        <w:tc>
          <w:tcPr>
            <w:tcW w:w="758" w:type="pct"/>
            <w:vMerge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03E36" w:rsidRPr="00F65A36" w:rsidTr="00C819DA">
        <w:trPr>
          <w:cantSplit/>
          <w:trHeight w:val="671"/>
        </w:trPr>
        <w:tc>
          <w:tcPr>
            <w:tcW w:w="547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08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08" w:type="pct"/>
            <w:vMerge/>
            <w:shd w:val="clear" w:color="auto" w:fill="auto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</w:p>
        </w:tc>
        <w:tc>
          <w:tcPr>
            <w:tcW w:w="786" w:type="pct"/>
            <w:vAlign w:val="center"/>
          </w:tcPr>
          <w:p w:rsidR="00303E36" w:rsidRPr="00B3169F" w:rsidRDefault="00303E36" w:rsidP="00634D0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Photovoltaic meter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B3169F">
            <w:pPr>
              <w:spacing w:after="0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Generation in period [kWh]</w:t>
            </w:r>
          </w:p>
        </w:tc>
        <w:tc>
          <w:tcPr>
            <w:tcW w:w="758" w:type="pct"/>
            <w:vMerge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03E36" w:rsidRPr="00F65A36" w:rsidTr="00C819DA">
        <w:trPr>
          <w:cantSplit/>
          <w:trHeight w:val="684"/>
        </w:trPr>
        <w:tc>
          <w:tcPr>
            <w:tcW w:w="547" w:type="pct"/>
            <w:shd w:val="clear" w:color="auto" w:fill="auto"/>
            <w:vAlign w:val="center"/>
            <w:hideMark/>
          </w:tcPr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TC20 IHD</w:t>
            </w:r>
          </w:p>
          <w:p w:rsidR="00303E36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PV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left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napToGrid w:val="0"/>
                <w:szCs w:val="20"/>
                <w:lang w:eastAsia="en-GB"/>
              </w:rPr>
              <w:t>Domestic solar PV customers using in-home displays for manual in-premises balancing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Domestic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147</w:t>
            </w:r>
          </w:p>
        </w:tc>
        <w:tc>
          <w:tcPr>
            <w:tcW w:w="786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Whole home import</w:t>
            </w: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:rsidR="00303E36" w:rsidRPr="00B3169F" w:rsidRDefault="00303E36" w:rsidP="00C2205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Solar power</w:t>
            </w:r>
          </w:p>
        </w:tc>
        <w:tc>
          <w:tcPr>
            <w:tcW w:w="864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hAnsiTheme="minorHAnsi" w:cstheme="minorHAnsi"/>
                <w:szCs w:val="20"/>
              </w:rPr>
              <w:t>Average power [kW]</w:t>
            </w:r>
          </w:p>
        </w:tc>
        <w:tc>
          <w:tcPr>
            <w:tcW w:w="758" w:type="pct"/>
            <w:vAlign w:val="center"/>
          </w:tcPr>
          <w:p w:rsidR="00303E36" w:rsidRPr="00B3169F" w:rsidRDefault="00303E36" w:rsidP="00C22050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eastAsia="en-GB"/>
              </w:rPr>
            </w:pPr>
            <w:r w:rsidRPr="00B3169F">
              <w:rPr>
                <w:rFonts w:asciiTheme="minorHAnsi" w:eastAsia="Times New Roman" w:hAnsiTheme="minorHAnsi" w:cstheme="minorHAnsi"/>
                <w:szCs w:val="20"/>
                <w:lang w:eastAsia="en-GB"/>
              </w:rPr>
              <w:t>Low Carbon Technology data. Peak Power [kW</w:t>
            </w:r>
          </w:p>
        </w:tc>
      </w:tr>
    </w:tbl>
    <w:p w:rsidR="002B0EBE" w:rsidRDefault="002B0EBE"/>
    <w:p w:rsidR="00AA09A8" w:rsidRDefault="00E6192A">
      <w:pPr>
        <w:rPr>
          <w:rFonts w:asciiTheme="minorHAnsi" w:hAnsiTheme="minorHAnsi" w:cstheme="minorHAnsi"/>
          <w:sz w:val="22"/>
        </w:rPr>
      </w:pPr>
      <w:r w:rsidRPr="00F65A36">
        <w:rPr>
          <w:rFonts w:asciiTheme="minorHAnsi" w:hAnsiTheme="minorHAnsi" w:cstheme="minorHAnsi"/>
          <w:sz w:val="22"/>
        </w:rPr>
        <w:t>The customer test cell definition table is the defining tab</w:t>
      </w:r>
      <w:r w:rsidR="00CB7811">
        <w:rPr>
          <w:rFonts w:asciiTheme="minorHAnsi" w:hAnsiTheme="minorHAnsi" w:cstheme="minorHAnsi"/>
          <w:sz w:val="22"/>
        </w:rPr>
        <w:t>le for trial participants and was</w:t>
      </w:r>
      <w:r w:rsidRPr="00F65A36">
        <w:rPr>
          <w:rFonts w:asciiTheme="minorHAnsi" w:hAnsiTheme="minorHAnsi" w:cstheme="minorHAnsi"/>
          <w:sz w:val="22"/>
        </w:rPr>
        <w:t xml:space="preserve"> available for all test cells except test cell 6: enhanced profiling of domestic customers with Electric Vehicles (EVs)</w:t>
      </w:r>
      <w:r>
        <w:rPr>
          <w:rFonts w:asciiTheme="minorHAnsi" w:hAnsiTheme="minorHAnsi" w:cstheme="minorHAnsi"/>
          <w:sz w:val="22"/>
        </w:rPr>
        <w:t>.</w:t>
      </w:r>
    </w:p>
    <w:p w:rsidR="00E6192A" w:rsidRDefault="00CB7811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Customer test cell data has been joined with</w:t>
      </w:r>
      <w:r w:rsidR="00905217">
        <w:rPr>
          <w:rFonts w:asciiTheme="minorHAnsi" w:hAnsiTheme="minorHAnsi" w:cstheme="minorHAnsi"/>
          <w:sz w:val="22"/>
        </w:rPr>
        <w:t xml:space="preserve"> </w:t>
      </w:r>
      <w:r w:rsidR="00E6192A">
        <w:rPr>
          <w:rFonts w:asciiTheme="minorHAnsi" w:hAnsiTheme="minorHAnsi" w:cstheme="minorHAnsi"/>
          <w:sz w:val="22"/>
        </w:rPr>
        <w:t>each test cell</w:t>
      </w:r>
      <w:r w:rsidR="00905217">
        <w:rPr>
          <w:rFonts w:asciiTheme="minorHAnsi" w:hAnsiTheme="minorHAnsi" w:cstheme="minorHAnsi"/>
          <w:sz w:val="22"/>
        </w:rPr>
        <w:t xml:space="preserve"> by Test Cell ID.</w:t>
      </w:r>
    </w:p>
    <w:p w:rsidR="00DB6896" w:rsidRDefault="00DB6896">
      <w:pPr>
        <w:rPr>
          <w:rFonts w:asciiTheme="minorHAnsi" w:hAnsiTheme="minorHAnsi" w:cstheme="minorHAnsi"/>
          <w:sz w:val="22"/>
        </w:rPr>
      </w:pPr>
    </w:p>
    <w:p w:rsidR="00DB6896" w:rsidRDefault="00DB6896">
      <w:pPr>
        <w:rPr>
          <w:rFonts w:asciiTheme="minorHAnsi" w:hAnsiTheme="minorHAnsi" w:cstheme="minorHAnsi"/>
          <w:sz w:val="22"/>
        </w:rPr>
      </w:pPr>
    </w:p>
    <w:p w:rsidR="00DB6896" w:rsidRDefault="00DB6896">
      <w:pPr>
        <w:rPr>
          <w:rFonts w:asciiTheme="minorHAnsi" w:hAnsiTheme="minorHAnsi" w:cstheme="minorHAnsi"/>
          <w:sz w:val="22"/>
        </w:rPr>
      </w:pPr>
    </w:p>
    <w:p w:rsidR="00DB6896" w:rsidRDefault="00DB6896">
      <w:pPr>
        <w:rPr>
          <w:rFonts w:asciiTheme="minorHAnsi" w:hAnsiTheme="minorHAnsi" w:cstheme="minorHAnsi"/>
          <w:sz w:val="22"/>
        </w:rPr>
      </w:pPr>
    </w:p>
    <w:p w:rsidR="00137B0B" w:rsidRPr="00137B0B" w:rsidRDefault="00137B0B">
      <w:r w:rsidRPr="003775A6">
        <w:rPr>
          <w:b/>
        </w:rPr>
        <w:lastRenderedPageBreak/>
        <w:t>Table</w:t>
      </w:r>
      <w:r w:rsidR="007D36D2">
        <w:rPr>
          <w:b/>
        </w:rPr>
        <w:t xml:space="preserve"> 2</w:t>
      </w:r>
      <w:r>
        <w:rPr>
          <w:b/>
        </w:rPr>
        <w:t xml:space="preserve">: </w:t>
      </w:r>
      <w:r>
        <w:t xml:space="preserve">Description of the main fields contained in the file </w:t>
      </w:r>
      <w:r>
        <w:rPr>
          <w:b/>
        </w:rPr>
        <w:t>“</w:t>
      </w:r>
      <w:r w:rsidRPr="00137B0B">
        <w:rPr>
          <w:b/>
        </w:rPr>
        <w:t>CustomerTestCellDefinition</w:t>
      </w:r>
      <w:r>
        <w:rPr>
          <w:b/>
        </w:rPr>
        <w:t>.csv”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8"/>
        <w:gridCol w:w="1336"/>
        <w:gridCol w:w="1581"/>
        <w:gridCol w:w="4281"/>
      </w:tblGrid>
      <w:tr w:rsidR="00AA09A8" w:rsidRPr="00F65A36" w:rsidTr="00137B0B">
        <w:trPr>
          <w:trHeight w:val="784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  <w:t>Field Name (spread sheet column)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  <w:t>Type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  <w:t>Values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n-GB"/>
              </w:rPr>
              <w:t>Comments &amp; Restrictions</w:t>
            </w:r>
          </w:p>
        </w:tc>
      </w:tr>
      <w:tr w:rsidR="00AA09A8" w:rsidRPr="00F65A36" w:rsidTr="00137B0B">
        <w:trPr>
          <w:trHeight w:val="780"/>
        </w:trPr>
        <w:tc>
          <w:tcPr>
            <w:tcW w:w="10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Location ID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 xml:space="preserve">Numeric string 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Any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szCs w:val="20"/>
              </w:rPr>
              <w:t>Uniquely identifies the location</w:t>
            </w: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 xml:space="preserve">. </w:t>
            </w:r>
          </w:p>
        </w:tc>
      </w:tr>
      <w:tr w:rsidR="00AA09A8" w:rsidRPr="00F65A36" w:rsidTr="00137B0B">
        <w:trPr>
          <w:trHeight w:val="858"/>
        </w:trPr>
        <w:tc>
          <w:tcPr>
            <w:tcW w:w="100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Customer Type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string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“RES”</w:t>
            </w:r>
          </w:p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“SME”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The test cell ID may not unambiguously indicate which test cells are residential or SME so the customer type field will indicate this.</w:t>
            </w:r>
          </w:p>
        </w:tc>
      </w:tr>
      <w:tr w:rsidR="00AA09A8" w:rsidRPr="00F65A36" w:rsidTr="00137B0B">
        <w:trPr>
          <w:trHeight w:val="896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Test Cell ID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string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Alphanumeric descriptor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This identifies the test cell of which the location is a member. A location can be a member of more than one test cell.</w:t>
            </w:r>
          </w:p>
        </w:tc>
      </w:tr>
      <w:tr w:rsidR="00AA09A8" w:rsidRPr="00F65A36" w:rsidTr="00137B0B">
        <w:trPr>
          <w:trHeight w:val="1501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In/Out Region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unit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0 = not defined</w:t>
            </w:r>
          </w:p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1 = in-region</w:t>
            </w:r>
          </w:p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2 = out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 xml:space="preserve">This indicates whether a customer is in or out of Northern </w:t>
            </w:r>
            <w:proofErr w:type="spellStart"/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Powergrid’s</w:t>
            </w:r>
            <w:proofErr w:type="spellEnd"/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 xml:space="preserve"> region. For some test cells this is not important and the value may be left as zero (undefined).</w:t>
            </w:r>
          </w:p>
        </w:tc>
      </w:tr>
      <w:tr w:rsidR="00AA09A8" w:rsidRPr="00F65A36" w:rsidTr="00137B0B">
        <w:trPr>
          <w:trHeight w:val="1553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Data Valid Start Date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Date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Any between 2011 and 2014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This is date of the first day’s data that can be used for analysis.</w:t>
            </w:r>
          </w:p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This allows for the fact that customer joining and leaving dates may not coincide directly with the trial monitoring data.</w:t>
            </w:r>
          </w:p>
        </w:tc>
      </w:tr>
      <w:tr w:rsidR="00AA09A8" w:rsidRPr="00F65A36" w:rsidTr="00137B0B">
        <w:trPr>
          <w:trHeight w:val="1052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Data Valid End Date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Date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Any between 2011 and 2014; and &gt;= value in field 7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This is date of the last day’s data that can be used for analysis. (See ‘Data valid start date’).</w:t>
            </w:r>
          </w:p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</w:p>
        </w:tc>
      </w:tr>
      <w:tr w:rsidR="00AA09A8" w:rsidRPr="00F65A36" w:rsidTr="00137B0B">
        <w:trPr>
          <w:trHeight w:val="688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Tariff Type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string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Describes tariff type of the customer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Tariff type for each customer.</w:t>
            </w:r>
          </w:p>
        </w:tc>
      </w:tr>
      <w:tr w:rsidR="00AA09A8" w:rsidRPr="00F65A36" w:rsidTr="00137B0B">
        <w:trPr>
          <w:trHeight w:val="603"/>
        </w:trPr>
        <w:tc>
          <w:tcPr>
            <w:tcW w:w="100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Mosaic Class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text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Any valid Mosaic class</w:t>
            </w:r>
          </w:p>
        </w:tc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A09A8" w:rsidRPr="00CB7811" w:rsidRDefault="00AA09A8" w:rsidP="00C22050">
            <w:pPr>
              <w:jc w:val="left"/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</w:pPr>
            <w:r w:rsidRPr="00CB7811">
              <w:rPr>
                <w:rFonts w:asciiTheme="minorHAnsi" w:hAnsiTheme="minorHAnsi" w:cstheme="minorHAnsi"/>
                <w:color w:val="000000"/>
                <w:szCs w:val="20"/>
                <w:lang w:eastAsia="en-GB"/>
              </w:rPr>
              <w:t>Any non-valid type will be an error</w:t>
            </w:r>
          </w:p>
        </w:tc>
      </w:tr>
    </w:tbl>
    <w:p w:rsidR="00E955E4" w:rsidRDefault="00E955E4" w:rsidP="009F1629">
      <w:pPr>
        <w:rPr>
          <w:rFonts w:asciiTheme="minorHAnsi" w:hAnsiTheme="minorHAnsi" w:cstheme="minorHAnsi"/>
          <w:sz w:val="22"/>
        </w:rPr>
      </w:pPr>
    </w:p>
    <w:p w:rsidR="00CB7811" w:rsidRDefault="009F1629" w:rsidP="009F1629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Prov</w:t>
      </w:r>
      <w:r w:rsidR="00900237">
        <w:rPr>
          <w:rFonts w:asciiTheme="minorHAnsi" w:hAnsiTheme="minorHAnsi" w:cstheme="minorHAnsi"/>
          <w:sz w:val="22"/>
        </w:rPr>
        <w:t>ided data for each test cell were</w:t>
      </w:r>
      <w:r>
        <w:rPr>
          <w:rFonts w:asciiTheme="minorHAnsi" w:hAnsiTheme="minorHAnsi" w:cstheme="minorHAnsi"/>
          <w:sz w:val="22"/>
        </w:rPr>
        <w:t xml:space="preserve"> too large</w:t>
      </w:r>
      <w:r w:rsidR="00303E36">
        <w:rPr>
          <w:rFonts w:asciiTheme="minorHAnsi" w:hAnsiTheme="minorHAnsi" w:cstheme="minorHAnsi"/>
          <w:sz w:val="22"/>
        </w:rPr>
        <w:t xml:space="preserve"> to be</w:t>
      </w:r>
      <w:r>
        <w:rPr>
          <w:rFonts w:asciiTheme="minorHAnsi" w:hAnsiTheme="minorHAnsi" w:cstheme="minorHAnsi"/>
          <w:sz w:val="22"/>
        </w:rPr>
        <w:t xml:space="preserve"> open</w:t>
      </w:r>
      <w:r w:rsidR="00303E36">
        <w:rPr>
          <w:rFonts w:asciiTheme="minorHAnsi" w:hAnsiTheme="minorHAnsi" w:cstheme="minorHAnsi"/>
          <w:sz w:val="22"/>
        </w:rPr>
        <w:t>ed</w:t>
      </w:r>
      <w:r>
        <w:rPr>
          <w:rFonts w:asciiTheme="minorHAnsi" w:hAnsiTheme="minorHAnsi" w:cstheme="minorHAnsi"/>
          <w:sz w:val="22"/>
        </w:rPr>
        <w:t xml:space="preserve"> in MS-Excel. Unless they are interrogated through a database, the data cannot be wholly explored as they are. Therefore, data has b</w:t>
      </w:r>
      <w:r w:rsidR="00CB7811">
        <w:rPr>
          <w:rFonts w:asciiTheme="minorHAnsi" w:hAnsiTheme="minorHAnsi" w:cstheme="minorHAnsi"/>
          <w:sz w:val="22"/>
        </w:rPr>
        <w:t xml:space="preserve">een </w:t>
      </w:r>
      <w:r w:rsidR="00CF125A">
        <w:rPr>
          <w:rFonts w:asciiTheme="minorHAnsi" w:hAnsiTheme="minorHAnsi" w:cstheme="minorHAnsi"/>
          <w:sz w:val="22"/>
        </w:rPr>
        <w:t>processed following a particular procedure.  Basically, d</w:t>
      </w:r>
      <w:r w:rsidR="00CF125A" w:rsidRPr="00CF125A">
        <w:rPr>
          <w:rFonts w:asciiTheme="minorHAnsi" w:hAnsiTheme="minorHAnsi" w:cstheme="minorHAnsi"/>
          <w:sz w:val="22"/>
        </w:rPr>
        <w:t>ata has been grouped and summarized by customer ID and by hour. Therefore, the</w:t>
      </w:r>
      <w:r w:rsidR="00CF125A">
        <w:rPr>
          <w:rFonts w:asciiTheme="minorHAnsi" w:hAnsiTheme="minorHAnsi" w:cstheme="minorHAnsi"/>
          <w:sz w:val="22"/>
        </w:rPr>
        <w:t xml:space="preserve"> resulting</w:t>
      </w:r>
      <w:r w:rsidR="00CF125A" w:rsidRPr="00CF125A">
        <w:rPr>
          <w:rFonts w:asciiTheme="minorHAnsi" w:hAnsiTheme="minorHAnsi" w:cstheme="minorHAnsi"/>
          <w:sz w:val="22"/>
        </w:rPr>
        <w:t xml:space="preserve"> size of the processed </w:t>
      </w:r>
      <w:r w:rsidR="00CF125A">
        <w:rPr>
          <w:rFonts w:asciiTheme="minorHAnsi" w:hAnsiTheme="minorHAnsi" w:cstheme="minorHAnsi"/>
          <w:sz w:val="22"/>
        </w:rPr>
        <w:t>dataset was easily</w:t>
      </w:r>
      <w:r w:rsidR="00CF125A" w:rsidRPr="00CF125A">
        <w:rPr>
          <w:rFonts w:asciiTheme="minorHAnsi" w:hAnsiTheme="minorHAnsi" w:cstheme="minorHAnsi"/>
          <w:sz w:val="22"/>
        </w:rPr>
        <w:t xml:space="preserve"> readable by the end-user who would like to explore</w:t>
      </w:r>
      <w:r w:rsidR="00CF125A">
        <w:rPr>
          <w:rFonts w:asciiTheme="minorHAnsi" w:hAnsiTheme="minorHAnsi" w:cstheme="minorHAnsi"/>
          <w:sz w:val="22"/>
        </w:rPr>
        <w:t xml:space="preserve"> the data,</w:t>
      </w:r>
      <w:r w:rsidR="00CF125A" w:rsidRPr="00CF125A">
        <w:rPr>
          <w:rFonts w:asciiTheme="minorHAnsi" w:hAnsiTheme="minorHAnsi" w:cstheme="minorHAnsi"/>
          <w:sz w:val="22"/>
        </w:rPr>
        <w:t xml:space="preserve"> </w:t>
      </w:r>
      <w:r w:rsidR="00CF125A">
        <w:rPr>
          <w:rFonts w:asciiTheme="minorHAnsi" w:hAnsiTheme="minorHAnsi" w:cstheme="minorHAnsi"/>
          <w:sz w:val="22"/>
        </w:rPr>
        <w:t xml:space="preserve">perform </w:t>
      </w:r>
      <w:r w:rsidR="00CF125A" w:rsidRPr="00CF125A">
        <w:rPr>
          <w:rFonts w:asciiTheme="minorHAnsi" w:hAnsiTheme="minorHAnsi" w:cstheme="minorHAnsi"/>
          <w:sz w:val="22"/>
        </w:rPr>
        <w:t>statistical analysis</w:t>
      </w:r>
      <w:r w:rsidR="00CF125A">
        <w:rPr>
          <w:rFonts w:asciiTheme="minorHAnsi" w:hAnsiTheme="minorHAnsi" w:cstheme="minorHAnsi"/>
          <w:sz w:val="22"/>
        </w:rPr>
        <w:t xml:space="preserve"> and data visualization.</w:t>
      </w:r>
    </w:p>
    <w:p w:rsidR="00900237" w:rsidRDefault="0090023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Zipped data from prov</w:t>
      </w:r>
      <w:r w:rsidR="008A224E">
        <w:rPr>
          <w:rFonts w:asciiTheme="minorHAnsi" w:hAnsiTheme="minorHAnsi" w:cstheme="minorHAnsi"/>
          <w:sz w:val="22"/>
        </w:rPr>
        <w:t xml:space="preserve">ided by Northern </w:t>
      </w:r>
      <w:proofErr w:type="spellStart"/>
      <w:r w:rsidR="008A224E">
        <w:rPr>
          <w:rFonts w:asciiTheme="minorHAnsi" w:hAnsiTheme="minorHAnsi" w:cstheme="minorHAnsi"/>
          <w:sz w:val="22"/>
        </w:rPr>
        <w:t>Powergrid</w:t>
      </w:r>
      <w:proofErr w:type="spellEnd"/>
      <w:r w:rsidR="008A224E">
        <w:rPr>
          <w:rFonts w:asciiTheme="minorHAnsi" w:hAnsiTheme="minorHAnsi" w:cstheme="minorHAnsi"/>
          <w:sz w:val="22"/>
        </w:rPr>
        <w:t xml:space="preserve"> are located in the </w:t>
      </w:r>
      <w:proofErr w:type="spellStart"/>
      <w:r w:rsidR="008A224E" w:rsidRPr="00E95F17">
        <w:rPr>
          <w:rFonts w:asciiTheme="minorHAnsi" w:hAnsiTheme="minorHAnsi" w:cstheme="minorHAnsi"/>
          <w:b/>
          <w:sz w:val="22"/>
        </w:rPr>
        <w:t>gisdev</w:t>
      </w:r>
      <w:proofErr w:type="spellEnd"/>
      <w:r w:rsidR="008A224E">
        <w:rPr>
          <w:rFonts w:asciiTheme="minorHAnsi" w:hAnsiTheme="minorHAnsi" w:cstheme="minorHAnsi"/>
          <w:sz w:val="22"/>
        </w:rPr>
        <w:t xml:space="preserve"> server of Ricardo Energy &amp; Environment</w:t>
      </w:r>
      <w:r w:rsidR="00E95F17">
        <w:rPr>
          <w:rFonts w:asciiTheme="minorHAnsi" w:hAnsiTheme="minorHAnsi" w:cstheme="minorHAnsi"/>
          <w:sz w:val="22"/>
        </w:rPr>
        <w:t xml:space="preserve"> in the directory</w:t>
      </w:r>
      <w:r w:rsidR="00E95F17" w:rsidRPr="00E95F17">
        <w:rPr>
          <w:rFonts w:asciiTheme="minorHAnsi" w:hAnsiTheme="minorHAnsi" w:cstheme="minorHAnsi"/>
          <w:b/>
          <w:sz w:val="22"/>
        </w:rPr>
        <w:t>: /SAN/data/</w:t>
      </w:r>
      <w:proofErr w:type="spellStart"/>
      <w:r w:rsidR="00E95F17" w:rsidRPr="00E95F17">
        <w:rPr>
          <w:rFonts w:asciiTheme="minorHAnsi" w:hAnsiTheme="minorHAnsi" w:cstheme="minorHAnsi"/>
          <w:b/>
          <w:sz w:val="22"/>
        </w:rPr>
        <w:t>NetworkRevolution</w:t>
      </w:r>
      <w:proofErr w:type="spellEnd"/>
      <w:r w:rsidR="00E95F17" w:rsidRPr="00E95F17">
        <w:rPr>
          <w:rFonts w:asciiTheme="minorHAnsi" w:hAnsiTheme="minorHAnsi" w:cstheme="minorHAnsi"/>
          <w:b/>
          <w:sz w:val="22"/>
        </w:rPr>
        <w:t>/TC1a</w:t>
      </w:r>
      <w:r w:rsidR="00E95F17">
        <w:rPr>
          <w:rFonts w:asciiTheme="minorHAnsi" w:hAnsiTheme="minorHAnsi" w:cstheme="minorHAnsi"/>
          <w:sz w:val="22"/>
        </w:rPr>
        <w:t xml:space="preserve"> </w:t>
      </w:r>
      <w:r w:rsidR="00E95F17" w:rsidRPr="00E95F17">
        <w:rPr>
          <w:rFonts w:asciiTheme="minorHAnsi" w:hAnsiTheme="minorHAnsi" w:cstheme="minorHAnsi"/>
          <w:b/>
          <w:sz w:val="22"/>
        </w:rPr>
        <w:t>(/TC1b; TC2a; TC3; TC5; TC6; TC9a; TC20_Auto; TC20IHD</w:t>
      </w:r>
      <w:r w:rsidR="00E95F17">
        <w:rPr>
          <w:rFonts w:asciiTheme="minorHAnsi" w:hAnsiTheme="minorHAnsi" w:cstheme="minorHAnsi"/>
          <w:sz w:val="22"/>
        </w:rPr>
        <w:t xml:space="preserve">) </w:t>
      </w:r>
    </w:p>
    <w:p w:rsidR="009F67E6" w:rsidRPr="009F67E6" w:rsidRDefault="00900237" w:rsidP="008A224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lastRenderedPageBreak/>
        <w:t xml:space="preserve">basic </w:t>
      </w:r>
      <w:proofErr w:type="spellStart"/>
      <w:r w:rsidRPr="00900237">
        <w:rPr>
          <w:rFonts w:asciiTheme="minorHAnsi" w:hAnsiTheme="minorHAnsi" w:cstheme="minorHAnsi"/>
          <w:b/>
          <w:bCs/>
          <w:sz w:val="22"/>
        </w:rPr>
        <w:t>dom</w:t>
      </w:r>
      <w:proofErr w:type="spellEnd"/>
      <w:r w:rsidRPr="00900237">
        <w:rPr>
          <w:rFonts w:asciiTheme="minorHAnsi" w:hAnsiTheme="minorHAnsi" w:cstheme="minorHAnsi"/>
          <w:b/>
          <w:bCs/>
          <w:sz w:val="22"/>
        </w:rPr>
        <w:t xml:space="preserve"> </w:t>
      </w:r>
      <w:proofErr w:type="spellStart"/>
      <w:r w:rsidRPr="00900237">
        <w:rPr>
          <w:rFonts w:asciiTheme="minorHAnsi" w:hAnsiTheme="minorHAnsi" w:cstheme="minorHAnsi"/>
          <w:b/>
          <w:bCs/>
          <w:sz w:val="22"/>
        </w:rPr>
        <w:t>sm</w:t>
      </w:r>
      <w:proofErr w:type="spellEnd"/>
      <w:r w:rsidRPr="00900237">
        <w:rPr>
          <w:rFonts w:asciiTheme="minorHAnsi" w:hAnsiTheme="minorHAnsi" w:cstheme="minorHAnsi"/>
          <w:b/>
          <w:bCs/>
          <w:sz w:val="22"/>
        </w:rPr>
        <w:t xml:space="preserve"> profile - TC1a.zip</w:t>
      </w:r>
      <w:r w:rsidR="008A224E">
        <w:rPr>
          <w:rFonts w:asciiTheme="minorHAnsi" w:hAnsiTheme="minorHAnsi" w:cstheme="minorHAnsi"/>
          <w:bCs/>
          <w:sz w:val="22"/>
        </w:rPr>
        <w:t xml:space="preserve"> (file used: TrialMonitoringDataHH.csv, CustomerTestCellDefinition.csv)</w:t>
      </w:r>
    </w:p>
    <w:p w:rsidR="00900237" w:rsidRPr="00900237" w:rsidRDefault="00900237" w:rsidP="008A224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TC1b - Basic profiling of small and medium sized enterprise SME customers.zip</w:t>
      </w:r>
      <w:r w:rsidR="008A224E">
        <w:rPr>
          <w:rFonts w:asciiTheme="minorHAnsi" w:hAnsiTheme="minorHAnsi" w:cstheme="minorHAnsi"/>
          <w:b/>
          <w:bCs/>
          <w:sz w:val="22"/>
        </w:rPr>
        <w:t xml:space="preserve"> </w:t>
      </w:r>
      <w:r w:rsidR="008A224E">
        <w:rPr>
          <w:rFonts w:asciiTheme="minorHAnsi" w:hAnsiTheme="minorHAnsi" w:cstheme="minorHAnsi"/>
          <w:bCs/>
          <w:sz w:val="22"/>
        </w:rPr>
        <w:t xml:space="preserve">(file used: </w:t>
      </w:r>
      <w:r w:rsidR="008A224E" w:rsidRPr="008A224E">
        <w:rPr>
          <w:rFonts w:asciiTheme="minorHAnsi" w:hAnsiTheme="minorHAnsi" w:cstheme="minorHAnsi"/>
          <w:bCs/>
          <w:sz w:val="22"/>
        </w:rPr>
        <w:t>TrialMonitoringData.csv</w:t>
      </w:r>
      <w:r w:rsidR="008A224E">
        <w:rPr>
          <w:rFonts w:asciiTheme="minorHAnsi" w:hAnsiTheme="minorHAnsi" w:cstheme="minorHAnsi"/>
          <w:bCs/>
          <w:sz w:val="22"/>
        </w:rPr>
        <w:t xml:space="preserve">, </w:t>
      </w:r>
      <w:r w:rsidR="008A224E" w:rsidRPr="008A224E">
        <w:rPr>
          <w:rFonts w:asciiTheme="minorHAnsi" w:hAnsiTheme="minorHAnsi" w:cstheme="minorHAnsi"/>
          <w:bCs/>
          <w:sz w:val="22"/>
        </w:rPr>
        <w:t>CustomerTestCellDefinition.csv</w:t>
      </w:r>
      <w:r w:rsidR="008A224E">
        <w:rPr>
          <w:rFonts w:asciiTheme="minorHAnsi" w:hAnsiTheme="minorHAnsi" w:cstheme="minorHAnsi"/>
          <w:bCs/>
          <w:sz w:val="22"/>
        </w:rPr>
        <w:t>)</w:t>
      </w:r>
    </w:p>
    <w:p w:rsidR="00900237" w:rsidRPr="00900237" w:rsidRDefault="00900237" w:rsidP="001A35BB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TC3 - Enhanced profiling of domestic customers with air source heat pumps.zip</w:t>
      </w:r>
      <w:r w:rsidR="008A224E">
        <w:rPr>
          <w:rFonts w:asciiTheme="minorHAnsi" w:hAnsiTheme="minorHAnsi" w:cstheme="minorHAnsi"/>
          <w:b/>
          <w:bCs/>
          <w:sz w:val="22"/>
        </w:rPr>
        <w:t xml:space="preserve"> </w:t>
      </w:r>
      <w:r w:rsidR="008A224E">
        <w:rPr>
          <w:rFonts w:asciiTheme="minorHAnsi" w:hAnsiTheme="minorHAnsi" w:cstheme="minorHAnsi"/>
          <w:bCs/>
          <w:sz w:val="22"/>
        </w:rPr>
        <w:t xml:space="preserve">(file used: </w:t>
      </w:r>
      <w:r w:rsidR="001A35BB" w:rsidRPr="001A35BB">
        <w:rPr>
          <w:rFonts w:asciiTheme="minorHAnsi" w:hAnsiTheme="minorHAnsi" w:cstheme="minorHAnsi"/>
          <w:bCs/>
          <w:sz w:val="22"/>
        </w:rPr>
        <w:t>TrialMonitoringData.csv</w:t>
      </w:r>
      <w:r w:rsidR="001A35BB">
        <w:rPr>
          <w:rFonts w:asciiTheme="minorHAnsi" w:hAnsiTheme="minorHAnsi" w:cstheme="minorHAnsi"/>
          <w:bCs/>
          <w:sz w:val="22"/>
        </w:rPr>
        <w:t xml:space="preserve">; </w:t>
      </w:r>
      <w:r w:rsidR="001A35BB">
        <w:rPr>
          <w:rFonts w:asciiTheme="minorHAnsi" w:hAnsiTheme="minorHAnsi" w:cstheme="minorHAnsi"/>
          <w:bCs/>
          <w:sz w:val="22"/>
        </w:rPr>
        <w:t>CustomerTestCellDefinition.csv</w:t>
      </w:r>
      <w:r w:rsidR="001A35BB">
        <w:rPr>
          <w:rFonts w:asciiTheme="minorHAnsi" w:hAnsiTheme="minorHAnsi" w:cstheme="minorHAnsi"/>
          <w:bCs/>
          <w:sz w:val="22"/>
        </w:rPr>
        <w:t xml:space="preserve">; </w:t>
      </w:r>
      <w:r w:rsidR="001A35BB" w:rsidRPr="001A35BB">
        <w:rPr>
          <w:rFonts w:asciiTheme="minorHAnsi" w:hAnsiTheme="minorHAnsi" w:cstheme="minorHAnsi"/>
          <w:bCs/>
          <w:sz w:val="22"/>
        </w:rPr>
        <w:t>TemperatureData.csv</w:t>
      </w:r>
      <w:r w:rsidR="001A35BB">
        <w:rPr>
          <w:rFonts w:asciiTheme="minorHAnsi" w:hAnsiTheme="minorHAnsi" w:cstheme="minorHAnsi"/>
          <w:bCs/>
          <w:sz w:val="22"/>
        </w:rPr>
        <w:t>)</w:t>
      </w:r>
    </w:p>
    <w:p w:rsidR="00900237" w:rsidRPr="00900237" w:rsidRDefault="00900237" w:rsidP="001A35BB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TC5 - Enhanced profiling of domestic customers with solar photovoltaics.zip</w:t>
      </w:r>
      <w:r w:rsidR="001A35BB">
        <w:rPr>
          <w:rFonts w:asciiTheme="minorHAnsi" w:hAnsiTheme="minorHAnsi" w:cstheme="minorHAnsi"/>
          <w:b/>
          <w:bCs/>
          <w:sz w:val="22"/>
        </w:rPr>
        <w:t xml:space="preserve"> </w:t>
      </w:r>
      <w:r w:rsidR="001A35BB">
        <w:rPr>
          <w:rFonts w:asciiTheme="minorHAnsi" w:hAnsiTheme="minorHAnsi" w:cstheme="minorHAnsi"/>
          <w:bCs/>
          <w:sz w:val="22"/>
        </w:rPr>
        <w:t xml:space="preserve">(file used: </w:t>
      </w:r>
      <w:r w:rsidR="001A35BB" w:rsidRPr="001A35BB">
        <w:rPr>
          <w:rFonts w:asciiTheme="minorHAnsi" w:hAnsiTheme="minorHAnsi" w:cstheme="minorHAnsi"/>
          <w:bCs/>
          <w:sz w:val="22"/>
        </w:rPr>
        <w:t>TrialMonitoringData.csv</w:t>
      </w:r>
      <w:r w:rsidR="001A35BB">
        <w:rPr>
          <w:rFonts w:asciiTheme="minorHAnsi" w:hAnsiTheme="minorHAnsi" w:cstheme="minorHAnsi"/>
          <w:bCs/>
          <w:sz w:val="22"/>
        </w:rPr>
        <w:t>; CustomerTestCellDefinition.csv;</w:t>
      </w:r>
      <w:r w:rsidR="001A35BB">
        <w:rPr>
          <w:rFonts w:asciiTheme="minorHAnsi" w:hAnsiTheme="minorHAnsi" w:cstheme="minorHAnsi"/>
          <w:bCs/>
          <w:sz w:val="22"/>
        </w:rPr>
        <w:t xml:space="preserve"> </w:t>
      </w:r>
      <w:r w:rsidR="001A35BB" w:rsidRPr="001A35BB">
        <w:rPr>
          <w:rFonts w:asciiTheme="minorHAnsi" w:hAnsiTheme="minorHAnsi" w:cstheme="minorHAnsi"/>
          <w:bCs/>
          <w:sz w:val="22"/>
        </w:rPr>
        <w:t>LowCarbonTechnologyMeteringAttributes.csv</w:t>
      </w:r>
      <w:r w:rsidR="001A35BB">
        <w:rPr>
          <w:rFonts w:asciiTheme="minorHAnsi" w:hAnsiTheme="minorHAnsi" w:cstheme="minorHAnsi"/>
          <w:bCs/>
          <w:sz w:val="22"/>
        </w:rPr>
        <w:t>)</w:t>
      </w:r>
    </w:p>
    <w:p w:rsidR="00900237" w:rsidRPr="00900237" w:rsidRDefault="00900237" w:rsidP="008A224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TC6 - Enhanced profiling of domestic customers with electric vehicles Evs.zip</w:t>
      </w:r>
      <w:r w:rsidR="001A35BB">
        <w:rPr>
          <w:rFonts w:asciiTheme="minorHAnsi" w:hAnsiTheme="minorHAnsi" w:cstheme="minorHAnsi"/>
          <w:bCs/>
          <w:sz w:val="22"/>
        </w:rPr>
        <w:t xml:space="preserve"> (file used: TrialMonitoringDataHH.csv)</w:t>
      </w:r>
    </w:p>
    <w:p w:rsidR="00900237" w:rsidRPr="00900237" w:rsidRDefault="00900237" w:rsidP="008A224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TC9a - Domestic smart meter customers on time of use tariffs.zip</w:t>
      </w:r>
      <w:r w:rsidR="001A35BB">
        <w:rPr>
          <w:rFonts w:asciiTheme="minorHAnsi" w:hAnsiTheme="minorHAnsi" w:cstheme="minorHAnsi"/>
          <w:b/>
          <w:bCs/>
          <w:sz w:val="22"/>
        </w:rPr>
        <w:t xml:space="preserve"> </w:t>
      </w:r>
      <w:r w:rsidR="001A35BB">
        <w:rPr>
          <w:rFonts w:asciiTheme="minorHAnsi" w:hAnsiTheme="minorHAnsi" w:cstheme="minorHAnsi"/>
          <w:bCs/>
          <w:sz w:val="22"/>
        </w:rPr>
        <w:t xml:space="preserve">(file used: </w:t>
      </w:r>
      <w:r w:rsidR="001A35BB" w:rsidRPr="001A35BB">
        <w:rPr>
          <w:rFonts w:asciiTheme="minorHAnsi" w:hAnsiTheme="minorHAnsi" w:cstheme="minorHAnsi"/>
          <w:bCs/>
          <w:sz w:val="22"/>
        </w:rPr>
        <w:t>TrialMonitoringData.csv</w:t>
      </w:r>
      <w:r w:rsidR="001A35BB">
        <w:rPr>
          <w:rFonts w:asciiTheme="minorHAnsi" w:hAnsiTheme="minorHAnsi" w:cstheme="minorHAnsi"/>
          <w:bCs/>
          <w:sz w:val="22"/>
        </w:rPr>
        <w:t>; CustomerTestCellDefinition.csv</w:t>
      </w:r>
      <w:r w:rsidR="001A35BB">
        <w:rPr>
          <w:rFonts w:asciiTheme="minorHAnsi" w:hAnsiTheme="minorHAnsi" w:cstheme="minorHAnsi"/>
          <w:bCs/>
          <w:sz w:val="22"/>
        </w:rPr>
        <w:t>)</w:t>
      </w:r>
    </w:p>
    <w:p w:rsidR="00900237" w:rsidRPr="00900237" w:rsidRDefault="00900237" w:rsidP="008A224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TC20Auto - Domestic solar PV customers with automatic in-premises balancing for hot water charging.zip</w:t>
      </w:r>
      <w:r w:rsidR="001A35BB">
        <w:rPr>
          <w:rFonts w:asciiTheme="minorHAnsi" w:hAnsiTheme="minorHAnsi" w:cstheme="minorHAnsi"/>
          <w:bCs/>
          <w:sz w:val="22"/>
        </w:rPr>
        <w:t xml:space="preserve"> (file used: </w:t>
      </w:r>
      <w:r w:rsidR="001A35BB" w:rsidRPr="001A35BB">
        <w:rPr>
          <w:rFonts w:asciiTheme="minorHAnsi" w:hAnsiTheme="minorHAnsi" w:cstheme="minorHAnsi"/>
          <w:bCs/>
          <w:sz w:val="22"/>
        </w:rPr>
        <w:t>TrialMonitoringData.csv</w:t>
      </w:r>
      <w:r w:rsidR="001A35BB">
        <w:rPr>
          <w:rFonts w:asciiTheme="minorHAnsi" w:hAnsiTheme="minorHAnsi" w:cstheme="minorHAnsi"/>
          <w:bCs/>
          <w:sz w:val="22"/>
        </w:rPr>
        <w:t>; CustomerTestCellDefinition.csv</w:t>
      </w:r>
      <w:r w:rsidR="001A35BB">
        <w:rPr>
          <w:rFonts w:asciiTheme="minorHAnsi" w:hAnsiTheme="minorHAnsi" w:cstheme="minorHAnsi"/>
          <w:bCs/>
          <w:sz w:val="22"/>
        </w:rPr>
        <w:t>)</w:t>
      </w:r>
    </w:p>
    <w:p w:rsidR="00900237" w:rsidRPr="00CF125A" w:rsidRDefault="00900237" w:rsidP="008A224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sz w:val="22"/>
        </w:rPr>
      </w:pPr>
      <w:r w:rsidRPr="00900237">
        <w:rPr>
          <w:rFonts w:asciiTheme="minorHAnsi" w:hAnsiTheme="minorHAnsi" w:cstheme="minorHAnsi"/>
          <w:b/>
          <w:bCs/>
          <w:sz w:val="22"/>
        </w:rPr>
        <w:t>TC20IHD - Domestic solar PV customers using in-home displays for manual in-premises balancing.zip</w:t>
      </w:r>
      <w:r w:rsidR="001A35BB">
        <w:rPr>
          <w:rFonts w:asciiTheme="minorHAnsi" w:hAnsiTheme="minorHAnsi" w:cstheme="minorHAnsi"/>
          <w:b/>
          <w:bCs/>
          <w:sz w:val="22"/>
        </w:rPr>
        <w:t xml:space="preserve"> </w:t>
      </w:r>
      <w:r w:rsidR="001A35BB">
        <w:rPr>
          <w:rFonts w:asciiTheme="minorHAnsi" w:hAnsiTheme="minorHAnsi" w:cstheme="minorHAnsi"/>
          <w:bCs/>
          <w:sz w:val="22"/>
        </w:rPr>
        <w:t xml:space="preserve">(file used: </w:t>
      </w:r>
      <w:r w:rsidR="001A35BB" w:rsidRPr="001A35BB">
        <w:rPr>
          <w:rFonts w:asciiTheme="minorHAnsi" w:hAnsiTheme="minorHAnsi" w:cstheme="minorHAnsi"/>
          <w:bCs/>
          <w:sz w:val="22"/>
        </w:rPr>
        <w:t>TrialMonitoringData.csv</w:t>
      </w:r>
      <w:r w:rsidR="001A35BB">
        <w:rPr>
          <w:rFonts w:asciiTheme="minorHAnsi" w:hAnsiTheme="minorHAnsi" w:cstheme="minorHAnsi"/>
          <w:bCs/>
          <w:sz w:val="22"/>
        </w:rPr>
        <w:t xml:space="preserve">; CustomerTestCellDefinition.csv; </w:t>
      </w:r>
      <w:r w:rsidR="001A35BB" w:rsidRPr="001A35BB">
        <w:rPr>
          <w:rFonts w:asciiTheme="minorHAnsi" w:hAnsiTheme="minorHAnsi" w:cstheme="minorHAnsi"/>
          <w:bCs/>
          <w:sz w:val="22"/>
        </w:rPr>
        <w:t>LowCarbonTechnologyMeteringAttributes.csv</w:t>
      </w:r>
      <w:r w:rsidR="001A35BB">
        <w:rPr>
          <w:rFonts w:asciiTheme="minorHAnsi" w:hAnsiTheme="minorHAnsi" w:cstheme="minorHAnsi"/>
          <w:bCs/>
          <w:sz w:val="22"/>
        </w:rPr>
        <w:t>)</w:t>
      </w:r>
    </w:p>
    <w:p w:rsidR="00D42E7B" w:rsidRDefault="00D42E7B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Figure 1 show the workflow diagram for the processing of the data as received from the Customer led Network Revolution Project.</w:t>
      </w:r>
    </w:p>
    <w:p w:rsidR="00D42E7B" w:rsidRDefault="00D42E7B">
      <w:r>
        <w:rPr>
          <w:noProof/>
          <w:lang w:eastAsia="en-GB"/>
        </w:rPr>
        <w:drawing>
          <wp:inline distT="0" distB="0" distL="0" distR="0">
            <wp:extent cx="6014141" cy="34861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003" cy="3487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865" w:rsidRDefault="00DB6896" w:rsidP="00071865">
      <w:pPr>
        <w:jc w:val="left"/>
        <w:rPr>
          <w:rFonts w:asciiTheme="minorHAnsi" w:hAnsiTheme="minorHAnsi" w:cstheme="minorHAnsi"/>
          <w:b/>
          <w:bCs/>
          <w:sz w:val="22"/>
        </w:rPr>
      </w:pPr>
      <w:r w:rsidRPr="00DB6896">
        <w:rPr>
          <w:rFonts w:asciiTheme="minorHAnsi" w:hAnsiTheme="minorHAnsi" w:cstheme="minorHAnsi"/>
          <w:bCs/>
          <w:sz w:val="22"/>
        </w:rPr>
        <w:t xml:space="preserve">Output files with aggregated data have been located in the driver: </w:t>
      </w:r>
      <w:r w:rsidRPr="00185920">
        <w:rPr>
          <w:rFonts w:asciiTheme="minorHAnsi" w:hAnsiTheme="minorHAnsi" w:cstheme="minorHAnsi"/>
          <w:b/>
          <w:bCs/>
          <w:sz w:val="22"/>
        </w:rPr>
        <w:t xml:space="preserve">Q:\Delivery\Projects\ECC\ED59817 </w:t>
      </w:r>
      <w:r w:rsidR="00071865">
        <w:rPr>
          <w:rFonts w:asciiTheme="minorHAnsi" w:hAnsiTheme="minorHAnsi" w:cstheme="minorHAnsi"/>
          <w:b/>
          <w:bCs/>
          <w:sz w:val="22"/>
        </w:rPr>
        <w:t xml:space="preserve">Future Cities - REHP Phase2\WP5 </w:t>
      </w:r>
      <w:r w:rsidRPr="00185920">
        <w:rPr>
          <w:rFonts w:asciiTheme="minorHAnsi" w:hAnsiTheme="minorHAnsi" w:cstheme="minorHAnsi"/>
          <w:b/>
          <w:bCs/>
          <w:sz w:val="22"/>
        </w:rPr>
        <w:t>Modelling\Internal\Data\</w:t>
      </w:r>
      <w:proofErr w:type="spellStart"/>
      <w:r w:rsidRPr="00185920">
        <w:rPr>
          <w:rFonts w:asciiTheme="minorHAnsi" w:hAnsiTheme="minorHAnsi" w:cstheme="minorHAnsi"/>
          <w:b/>
          <w:bCs/>
          <w:sz w:val="22"/>
        </w:rPr>
        <w:t>NetworkRevolution</w:t>
      </w:r>
      <w:proofErr w:type="spellEnd"/>
      <w:r w:rsidRPr="00185920">
        <w:rPr>
          <w:rFonts w:asciiTheme="minorHAnsi" w:hAnsiTheme="minorHAnsi" w:cstheme="minorHAnsi"/>
          <w:b/>
          <w:bCs/>
          <w:sz w:val="22"/>
        </w:rPr>
        <w:t>/</w:t>
      </w:r>
      <w:proofErr w:type="spellStart"/>
      <w:r w:rsidRPr="00185920">
        <w:rPr>
          <w:rFonts w:asciiTheme="minorHAnsi" w:hAnsiTheme="minorHAnsi" w:cstheme="minorHAnsi"/>
          <w:b/>
          <w:bCs/>
          <w:sz w:val="22"/>
        </w:rPr>
        <w:t>Data_Crunching</w:t>
      </w:r>
      <w:proofErr w:type="spellEnd"/>
    </w:p>
    <w:p w:rsidR="00DB6896" w:rsidRDefault="00DB6896" w:rsidP="00071865">
      <w:pPr>
        <w:jc w:val="left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Each Test Cell has a folder containing the aggregated csv files:</w:t>
      </w:r>
    </w:p>
    <w:p w:rsidR="00DB6896" w:rsidRDefault="00DB6896" w:rsidP="000816A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/TC1a</w:t>
      </w:r>
      <w:r w:rsidR="000816A5">
        <w:rPr>
          <w:rFonts w:asciiTheme="minorHAnsi" w:hAnsiTheme="minorHAnsi" w:cstheme="minorHAnsi"/>
          <w:bCs/>
          <w:sz w:val="22"/>
        </w:rPr>
        <w:t xml:space="preserve"> contain</w:t>
      </w:r>
      <w:r>
        <w:rPr>
          <w:rFonts w:asciiTheme="minorHAnsi" w:hAnsiTheme="minorHAnsi" w:cstheme="minorHAnsi"/>
          <w:bCs/>
          <w:sz w:val="22"/>
        </w:rPr>
        <w:t xml:space="preserve"> </w:t>
      </w:r>
      <w:r w:rsidRPr="000816A5">
        <w:rPr>
          <w:rFonts w:asciiTheme="minorHAnsi" w:hAnsiTheme="minorHAnsi" w:cstheme="minorHAnsi"/>
          <w:b/>
          <w:bCs/>
          <w:sz w:val="22"/>
        </w:rPr>
        <w:t>Electricity_data_TC1a</w:t>
      </w:r>
      <w:r w:rsidR="000816A5"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</w:t>
      </w:r>
      <w:r w:rsidR="000816A5">
        <w:rPr>
          <w:rFonts w:asciiTheme="minorHAnsi" w:hAnsiTheme="minorHAnsi" w:cstheme="minorHAnsi"/>
          <w:bCs/>
          <w:sz w:val="22"/>
        </w:rPr>
        <w:t xml:space="preserve"> and </w:t>
      </w:r>
      <w:r w:rsidR="000816A5" w:rsidRPr="000816A5">
        <w:rPr>
          <w:rFonts w:asciiTheme="minorHAnsi" w:hAnsiTheme="minorHAnsi" w:cstheme="minorHAnsi"/>
          <w:b/>
          <w:bCs/>
          <w:sz w:val="22"/>
        </w:rPr>
        <w:t>Electricity_data_TC1a_hour.csv</w:t>
      </w:r>
      <w:r w:rsidR="000816A5"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804D7D" w:rsidRPr="00804D7D" w:rsidRDefault="00804D7D" w:rsidP="00804D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lastRenderedPageBreak/>
        <w:t>/</w:t>
      </w:r>
      <w:r>
        <w:rPr>
          <w:rFonts w:asciiTheme="minorHAnsi" w:hAnsiTheme="minorHAnsi" w:cstheme="minorHAnsi"/>
          <w:bCs/>
          <w:sz w:val="22"/>
        </w:rPr>
        <w:t>TC1b</w:t>
      </w:r>
      <w:r>
        <w:rPr>
          <w:rFonts w:asciiTheme="minorHAnsi" w:hAnsiTheme="minorHAnsi" w:cstheme="minorHAnsi"/>
          <w:bCs/>
          <w:sz w:val="22"/>
        </w:rPr>
        <w:t xml:space="preserve"> contain </w:t>
      </w:r>
      <w:r>
        <w:rPr>
          <w:rFonts w:asciiTheme="minorHAnsi" w:hAnsiTheme="minorHAnsi" w:cstheme="minorHAnsi"/>
          <w:b/>
          <w:bCs/>
          <w:sz w:val="22"/>
        </w:rPr>
        <w:t>Electricity_data_TC1b</w:t>
      </w:r>
      <w:r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Electricity_data_TC1b</w:t>
      </w:r>
      <w:r w:rsidRPr="000816A5"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804D7D" w:rsidRPr="00DB6896" w:rsidRDefault="00804D7D" w:rsidP="00804D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TC2</w:t>
      </w:r>
      <w:r>
        <w:rPr>
          <w:rFonts w:asciiTheme="minorHAnsi" w:hAnsiTheme="minorHAnsi" w:cstheme="minorHAnsi"/>
          <w:bCs/>
          <w:sz w:val="22"/>
        </w:rPr>
        <w:t xml:space="preserve">a contain </w:t>
      </w:r>
      <w:r>
        <w:rPr>
          <w:rFonts w:asciiTheme="minorHAnsi" w:hAnsiTheme="minorHAnsi" w:cstheme="minorHAnsi"/>
          <w:b/>
          <w:bCs/>
          <w:sz w:val="22"/>
        </w:rPr>
        <w:t>Electricity_data_TC2</w:t>
      </w:r>
      <w:r w:rsidRPr="000816A5">
        <w:rPr>
          <w:rFonts w:asciiTheme="minorHAnsi" w:hAnsiTheme="minorHAnsi" w:cstheme="minorHAnsi"/>
          <w:b/>
          <w:bCs/>
          <w:sz w:val="22"/>
        </w:rPr>
        <w:t>a.csv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Electricity_data_TC2</w:t>
      </w:r>
      <w:r w:rsidRPr="000816A5">
        <w:rPr>
          <w:rFonts w:asciiTheme="minorHAnsi" w:hAnsiTheme="minorHAnsi" w:cstheme="minorHAnsi"/>
          <w:b/>
          <w:bCs/>
          <w:sz w:val="22"/>
        </w:rPr>
        <w:t>a_hour.csv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804D7D" w:rsidRPr="00DB6896" w:rsidRDefault="00804D7D" w:rsidP="00804D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TC3</w:t>
      </w:r>
      <w:r>
        <w:rPr>
          <w:rFonts w:asciiTheme="minorHAnsi" w:hAnsiTheme="minorHAnsi" w:cstheme="minorHAnsi"/>
          <w:bCs/>
          <w:sz w:val="22"/>
        </w:rPr>
        <w:t xml:space="preserve"> contain </w:t>
      </w:r>
      <w:r>
        <w:rPr>
          <w:rFonts w:asciiTheme="minorHAnsi" w:hAnsiTheme="minorHAnsi" w:cstheme="minorHAnsi"/>
          <w:b/>
          <w:bCs/>
          <w:sz w:val="22"/>
        </w:rPr>
        <w:t>Electricity_data_TC3</w:t>
      </w:r>
      <w:r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Cs/>
          <w:sz w:val="22"/>
        </w:rPr>
        <w:t>and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/>
          <w:bCs/>
          <w:sz w:val="22"/>
        </w:rPr>
        <w:t>Temperature_data_TC3</w:t>
      </w:r>
      <w:r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Electricity_data_TC3</w:t>
      </w:r>
      <w:r w:rsidRPr="000816A5"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Cs/>
          <w:sz w:val="22"/>
        </w:rPr>
        <w:t>and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/>
          <w:bCs/>
          <w:sz w:val="22"/>
        </w:rPr>
        <w:t>Temperature_data_TC3</w:t>
      </w:r>
      <w:r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804D7D" w:rsidRDefault="00804D7D" w:rsidP="00804D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TC5</w:t>
      </w:r>
      <w:r>
        <w:rPr>
          <w:rFonts w:asciiTheme="minorHAnsi" w:hAnsiTheme="minorHAnsi" w:cstheme="minorHAnsi"/>
          <w:bCs/>
          <w:sz w:val="22"/>
        </w:rPr>
        <w:t xml:space="preserve"> contain </w:t>
      </w:r>
      <w:r>
        <w:rPr>
          <w:rFonts w:asciiTheme="minorHAnsi" w:hAnsiTheme="minorHAnsi" w:cstheme="minorHAnsi"/>
          <w:b/>
          <w:bCs/>
          <w:sz w:val="22"/>
        </w:rPr>
        <w:t>Electricity_data_TC5</w:t>
      </w:r>
      <w:r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Cs/>
          <w:sz w:val="22"/>
        </w:rPr>
        <w:t>and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/>
          <w:bCs/>
          <w:sz w:val="22"/>
        </w:rPr>
        <w:t>Carbon_data_TC5</w:t>
      </w:r>
      <w:r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Electricity_data_TC5</w:t>
      </w:r>
      <w:r w:rsidRPr="000816A5"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A32ACA" w:rsidRPr="00DB6896" w:rsidRDefault="00A32ACA" w:rsidP="00A32AC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TC6</w:t>
      </w:r>
      <w:r>
        <w:rPr>
          <w:rFonts w:asciiTheme="minorHAnsi" w:hAnsiTheme="minorHAnsi" w:cstheme="minorHAnsi"/>
          <w:bCs/>
          <w:sz w:val="22"/>
        </w:rPr>
        <w:t xml:space="preserve"> contain </w:t>
      </w:r>
      <w:r>
        <w:rPr>
          <w:rFonts w:asciiTheme="minorHAnsi" w:hAnsiTheme="minorHAnsi" w:cstheme="minorHAnsi"/>
          <w:b/>
          <w:bCs/>
          <w:sz w:val="22"/>
        </w:rPr>
        <w:t>Electricity_data_TC6</w:t>
      </w:r>
      <w:r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Electricity_data_TC6</w:t>
      </w:r>
      <w:r w:rsidRPr="000816A5"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A32ACA" w:rsidRDefault="00A32ACA" w:rsidP="00A32AC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TC9</w:t>
      </w:r>
      <w:r>
        <w:rPr>
          <w:rFonts w:asciiTheme="minorHAnsi" w:hAnsiTheme="minorHAnsi" w:cstheme="minorHAnsi"/>
          <w:bCs/>
          <w:sz w:val="22"/>
        </w:rPr>
        <w:t xml:space="preserve">a contain </w:t>
      </w:r>
      <w:r>
        <w:rPr>
          <w:rFonts w:asciiTheme="minorHAnsi" w:hAnsiTheme="minorHAnsi" w:cstheme="minorHAnsi"/>
          <w:b/>
          <w:bCs/>
          <w:sz w:val="22"/>
        </w:rPr>
        <w:t>Electricity_data_TC9</w:t>
      </w:r>
      <w:r w:rsidRPr="000816A5">
        <w:rPr>
          <w:rFonts w:asciiTheme="minorHAnsi" w:hAnsiTheme="minorHAnsi" w:cstheme="minorHAnsi"/>
          <w:b/>
          <w:bCs/>
          <w:sz w:val="22"/>
        </w:rPr>
        <w:t>a.csv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Electricity_data_TC9</w:t>
      </w:r>
      <w:r w:rsidRPr="000816A5">
        <w:rPr>
          <w:rFonts w:asciiTheme="minorHAnsi" w:hAnsiTheme="minorHAnsi" w:cstheme="minorHAnsi"/>
          <w:b/>
          <w:bCs/>
          <w:sz w:val="22"/>
        </w:rPr>
        <w:t>a_hour.csv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7E68EA" w:rsidRDefault="007E68EA" w:rsidP="007E68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TC20_Auto</w:t>
      </w:r>
      <w:r>
        <w:rPr>
          <w:rFonts w:asciiTheme="minorHAnsi" w:hAnsiTheme="minorHAnsi" w:cstheme="minorHAnsi"/>
          <w:bCs/>
          <w:sz w:val="22"/>
        </w:rPr>
        <w:t xml:space="preserve"> contain </w:t>
      </w:r>
      <w:r>
        <w:rPr>
          <w:rFonts w:asciiTheme="minorHAnsi" w:hAnsiTheme="minorHAnsi" w:cstheme="minorHAnsi"/>
          <w:b/>
          <w:bCs/>
          <w:sz w:val="22"/>
        </w:rPr>
        <w:t>Electricity_data_TC20_Auto</w:t>
      </w:r>
      <w:r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</w:t>
      </w:r>
      <w:r w:rsidR="00AE64A2">
        <w:rPr>
          <w:rFonts w:asciiTheme="minorHAnsi" w:hAnsiTheme="minorHAnsi" w:cstheme="minorHAnsi"/>
          <w:b/>
          <w:bCs/>
          <w:sz w:val="22"/>
        </w:rPr>
        <w:t>TC</w:t>
      </w:r>
      <w:r>
        <w:rPr>
          <w:rFonts w:asciiTheme="minorHAnsi" w:hAnsiTheme="minorHAnsi" w:cstheme="minorHAnsi"/>
          <w:b/>
          <w:bCs/>
          <w:sz w:val="22"/>
        </w:rPr>
        <w:t>20_Auto</w:t>
      </w:r>
      <w:r w:rsidRPr="000816A5"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AE64A2" w:rsidRDefault="00AE64A2" w:rsidP="00AE64A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/</w:t>
      </w:r>
      <w:r>
        <w:rPr>
          <w:rFonts w:asciiTheme="minorHAnsi" w:hAnsiTheme="minorHAnsi" w:cstheme="minorHAnsi"/>
          <w:bCs/>
          <w:sz w:val="22"/>
        </w:rPr>
        <w:t>TC20IHD</w:t>
      </w:r>
      <w:r>
        <w:rPr>
          <w:rFonts w:asciiTheme="minorHAnsi" w:hAnsiTheme="minorHAnsi" w:cstheme="minorHAnsi"/>
          <w:bCs/>
          <w:sz w:val="22"/>
        </w:rPr>
        <w:t xml:space="preserve"> contain </w:t>
      </w:r>
      <w:r>
        <w:rPr>
          <w:rFonts w:asciiTheme="minorHAnsi" w:hAnsiTheme="minorHAnsi" w:cstheme="minorHAnsi"/>
          <w:b/>
          <w:bCs/>
          <w:sz w:val="22"/>
        </w:rPr>
        <w:t>Electricity_data_TC20IHD</w:t>
      </w:r>
      <w:r w:rsidRPr="000816A5"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Pr="00804D7D">
        <w:rPr>
          <w:rFonts w:asciiTheme="minorHAnsi" w:hAnsiTheme="minorHAnsi" w:cstheme="minorHAnsi"/>
          <w:bCs/>
          <w:sz w:val="22"/>
        </w:rPr>
        <w:t>and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Carbon_data_TC20IHD</w:t>
      </w:r>
      <w:r>
        <w:rPr>
          <w:rFonts w:asciiTheme="minorHAnsi" w:hAnsiTheme="minorHAnsi" w:cstheme="minorHAnsi"/>
          <w:b/>
          <w:bCs/>
          <w:sz w:val="22"/>
        </w:rPr>
        <w:t>.csv</w:t>
      </w:r>
      <w:r>
        <w:rPr>
          <w:rFonts w:asciiTheme="minorHAnsi" w:hAnsiTheme="minorHAnsi" w:cstheme="minorHAnsi"/>
          <w:bCs/>
          <w:sz w:val="22"/>
        </w:rPr>
        <w:t xml:space="preserve"> (aggregated data by Location ID) and </w:t>
      </w:r>
      <w:r>
        <w:rPr>
          <w:rFonts w:asciiTheme="minorHAnsi" w:hAnsiTheme="minorHAnsi" w:cstheme="minorHAnsi"/>
          <w:b/>
          <w:bCs/>
          <w:sz w:val="22"/>
        </w:rPr>
        <w:t>Electricity_data_TC20IHD</w:t>
      </w:r>
      <w:r w:rsidRPr="000816A5">
        <w:rPr>
          <w:rFonts w:asciiTheme="minorHAnsi" w:hAnsiTheme="minorHAnsi" w:cstheme="minorHAnsi"/>
          <w:b/>
          <w:bCs/>
          <w:sz w:val="22"/>
        </w:rPr>
        <w:t>_hour.csv</w:t>
      </w:r>
      <w:r>
        <w:rPr>
          <w:rFonts w:asciiTheme="minorHAnsi" w:hAnsiTheme="minorHAnsi" w:cstheme="minorHAnsi"/>
          <w:bCs/>
          <w:sz w:val="22"/>
        </w:rPr>
        <w:t xml:space="preserve"> (aggregated data by hour)</w:t>
      </w:r>
    </w:p>
    <w:p w:rsidR="00185920" w:rsidRPr="00185920" w:rsidRDefault="00185920" w:rsidP="00185920">
      <w:p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Data visualization for the above results are available in the folder: </w:t>
      </w:r>
      <w:r w:rsidRPr="00185920">
        <w:rPr>
          <w:rFonts w:asciiTheme="minorHAnsi" w:hAnsiTheme="minorHAnsi" w:cstheme="minorHAnsi"/>
          <w:b/>
          <w:bCs/>
          <w:sz w:val="22"/>
        </w:rPr>
        <w:t>Q:\Delivery\Projects\ECC\ED59817 Future Cities - REHP Phase2\WP5 Modelling\Internal\Data\</w:t>
      </w:r>
      <w:proofErr w:type="spellStart"/>
      <w:r w:rsidRPr="00185920">
        <w:rPr>
          <w:rFonts w:asciiTheme="minorHAnsi" w:hAnsiTheme="minorHAnsi" w:cstheme="minorHAnsi"/>
          <w:b/>
          <w:bCs/>
          <w:sz w:val="22"/>
        </w:rPr>
        <w:t>NetworkRevolution</w:t>
      </w:r>
      <w:proofErr w:type="spellEnd"/>
      <w:r w:rsidRPr="00185920">
        <w:rPr>
          <w:rFonts w:asciiTheme="minorHAnsi" w:hAnsiTheme="minorHAnsi" w:cstheme="minorHAnsi"/>
          <w:b/>
          <w:bCs/>
          <w:sz w:val="22"/>
        </w:rPr>
        <w:t>/</w:t>
      </w:r>
      <w:r>
        <w:rPr>
          <w:rFonts w:asciiTheme="minorHAnsi" w:hAnsiTheme="minorHAnsi" w:cstheme="minorHAnsi"/>
          <w:b/>
          <w:bCs/>
          <w:sz w:val="22"/>
        </w:rPr>
        <w:t>Plots</w:t>
      </w:r>
    </w:p>
    <w:p w:rsidR="00A32ACA" w:rsidRPr="00DB6896" w:rsidRDefault="00A32ACA" w:rsidP="00AE64A2">
      <w:pPr>
        <w:pStyle w:val="ListParagraph"/>
        <w:rPr>
          <w:rFonts w:asciiTheme="minorHAnsi" w:hAnsiTheme="minorHAnsi" w:cstheme="minorHAnsi"/>
          <w:bCs/>
          <w:sz w:val="22"/>
        </w:rPr>
      </w:pPr>
    </w:p>
    <w:p w:rsidR="00804D7D" w:rsidRPr="00AE64A2" w:rsidRDefault="00804D7D" w:rsidP="00AE64A2">
      <w:pPr>
        <w:rPr>
          <w:rFonts w:asciiTheme="minorHAnsi" w:hAnsiTheme="minorHAnsi" w:cstheme="minorHAnsi"/>
          <w:bCs/>
          <w:sz w:val="22"/>
        </w:rPr>
      </w:pPr>
    </w:p>
    <w:p w:rsidR="00DB6896" w:rsidRDefault="00DB6896" w:rsidP="00DB6896"/>
    <w:p w:rsidR="00D42E7B" w:rsidRDefault="00D42E7B"/>
    <w:p w:rsidR="00D42E7B" w:rsidRDefault="00D42E7B"/>
    <w:sectPr w:rsidR="00D42E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69" w:rsidRDefault="00B80D69" w:rsidP="0039378F">
      <w:pPr>
        <w:spacing w:after="0"/>
      </w:pPr>
      <w:r>
        <w:separator/>
      </w:r>
    </w:p>
  </w:endnote>
  <w:endnote w:type="continuationSeparator" w:id="0">
    <w:p w:rsidR="00B80D69" w:rsidRDefault="00B80D69" w:rsidP="003937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8F" w:rsidRDefault="003937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872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78F" w:rsidRDefault="003937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D7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9378F" w:rsidRDefault="003937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8F" w:rsidRDefault="00393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69" w:rsidRDefault="00B80D69" w:rsidP="0039378F">
      <w:pPr>
        <w:spacing w:after="0"/>
      </w:pPr>
      <w:r>
        <w:separator/>
      </w:r>
    </w:p>
  </w:footnote>
  <w:footnote w:type="continuationSeparator" w:id="0">
    <w:p w:rsidR="00B80D69" w:rsidRDefault="00B80D69" w:rsidP="003937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8F" w:rsidRDefault="003937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8F" w:rsidRDefault="003937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78F" w:rsidRDefault="00393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11D41"/>
    <w:multiLevelType w:val="hybridMultilevel"/>
    <w:tmpl w:val="FF32B0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F54A5"/>
    <w:multiLevelType w:val="hybridMultilevel"/>
    <w:tmpl w:val="D76288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F64EF"/>
    <w:multiLevelType w:val="hybridMultilevel"/>
    <w:tmpl w:val="4B986686"/>
    <w:lvl w:ilvl="0" w:tplc="F9D639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BE"/>
    <w:rsid w:val="00000E9B"/>
    <w:rsid w:val="0002229B"/>
    <w:rsid w:val="00071865"/>
    <w:rsid w:val="000816A5"/>
    <w:rsid w:val="000D19E6"/>
    <w:rsid w:val="00137B0B"/>
    <w:rsid w:val="0014436D"/>
    <w:rsid w:val="00146218"/>
    <w:rsid w:val="00185920"/>
    <w:rsid w:val="001A35BB"/>
    <w:rsid w:val="001B24CC"/>
    <w:rsid w:val="00217505"/>
    <w:rsid w:val="002B0EBE"/>
    <w:rsid w:val="00303E36"/>
    <w:rsid w:val="00366FAD"/>
    <w:rsid w:val="0039378F"/>
    <w:rsid w:val="004F0057"/>
    <w:rsid w:val="005E52A3"/>
    <w:rsid w:val="006134E9"/>
    <w:rsid w:val="00634D03"/>
    <w:rsid w:val="0064252F"/>
    <w:rsid w:val="00655D4E"/>
    <w:rsid w:val="00657B96"/>
    <w:rsid w:val="00686BF1"/>
    <w:rsid w:val="007D36D2"/>
    <w:rsid w:val="007D6404"/>
    <w:rsid w:val="007E68EA"/>
    <w:rsid w:val="00804D7D"/>
    <w:rsid w:val="008321BB"/>
    <w:rsid w:val="00896AEB"/>
    <w:rsid w:val="008A224E"/>
    <w:rsid w:val="008D4857"/>
    <w:rsid w:val="00900237"/>
    <w:rsid w:val="00905217"/>
    <w:rsid w:val="009F1629"/>
    <w:rsid w:val="009F67E6"/>
    <w:rsid w:val="00A272E2"/>
    <w:rsid w:val="00A32ACA"/>
    <w:rsid w:val="00AA09A8"/>
    <w:rsid w:val="00AE64A2"/>
    <w:rsid w:val="00B3169F"/>
    <w:rsid w:val="00B80D69"/>
    <w:rsid w:val="00B96B10"/>
    <w:rsid w:val="00BF3EDE"/>
    <w:rsid w:val="00C73D7C"/>
    <w:rsid w:val="00C819DA"/>
    <w:rsid w:val="00C950B7"/>
    <w:rsid w:val="00CB7811"/>
    <w:rsid w:val="00CF125A"/>
    <w:rsid w:val="00D16F39"/>
    <w:rsid w:val="00D2373C"/>
    <w:rsid w:val="00D42E7B"/>
    <w:rsid w:val="00D779E6"/>
    <w:rsid w:val="00DB6896"/>
    <w:rsid w:val="00DF0D53"/>
    <w:rsid w:val="00E147D9"/>
    <w:rsid w:val="00E56AED"/>
    <w:rsid w:val="00E6192A"/>
    <w:rsid w:val="00E7196B"/>
    <w:rsid w:val="00E82B18"/>
    <w:rsid w:val="00E955E4"/>
    <w:rsid w:val="00E95F17"/>
    <w:rsid w:val="00F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2286-BA6D-426D-B0D8-6173DC34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EBE"/>
    <w:pPr>
      <w:spacing w:after="240" w:line="240" w:lineRule="auto"/>
      <w:jc w:val="both"/>
    </w:pPr>
    <w:rPr>
      <w:rFonts w:ascii="Arial" w:eastAsia="Calibri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7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9378F"/>
    <w:rPr>
      <w:rFonts w:ascii="Arial" w:eastAsia="Calibr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7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378F"/>
    <w:rPr>
      <w:rFonts w:ascii="Arial" w:eastAsia="Calibr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A289-A517-4615-965B-1CED7638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Karagulian, Federico</dc:creator>
  <cp:keywords/>
  <dc:description/>
  <cp:lastModifiedBy>Karagulian, Federico</cp:lastModifiedBy>
  <cp:revision>46</cp:revision>
  <dcterms:created xsi:type="dcterms:W3CDTF">2016-03-17T09:33:00Z</dcterms:created>
  <dcterms:modified xsi:type="dcterms:W3CDTF">2016-03-18T10:22:00Z</dcterms:modified>
</cp:coreProperties>
</file>