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0"/>
      </w:pPr>
      <w:r>
        <w:rPr>
          <w:rFonts w:ascii="Carlito" w:hAnsi="Carlito"/>
          <w:b/>
          <w:color w:val="173F35"/>
          <w:sz w:val="68"/>
        </w:rPr>
        <w:t>EUTHYNA</w:t>
      </w:r>
    </w:p>
    <w:p>
      <w:pPr>
        <w:spacing w:after="240"/>
      </w:pPr>
      <w:r>
        <w:rPr>
          <w:rFonts w:ascii="Carlito" w:hAnsi="Carlito"/>
          <w:b/>
          <w:color w:val="17211E"/>
          <w:sz w:val="40"/>
        </w:rPr>
        <w:t>Proof-of-Obligation for Autonomous Payments</w:t>
      </w:r>
    </w:p>
    <w:p>
      <w:pPr>
        <w:spacing w:after="400"/>
      </w:pPr>
      <w:r>
        <w:rPr>
          <w:rFonts w:ascii="Carlito" w:hAnsi="Carlito"/>
          <w:color w:val="5E6A66"/>
          <w:sz w:val="26"/>
        </w:rPr>
        <w:t>Full Product Requirements Document</w:t>
      </w: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Core thesis</w:t>
            </w:r>
          </w:p>
          <w:p>
            <w:pPr>
              <w:spacing w:after="0"/>
            </w:pPr>
            <w:r>
              <w:rPr>
                <w:rFonts w:ascii="Carlito" w:hAnsi="Carlito"/>
                <w:sz w:val="20"/>
              </w:rPr>
              <w:t>Agent decides. Euthyna proves the obligation. The contract authorizes. Arc settles.</w:t>
            </w:r>
          </w:p>
        </w:tc>
      </w:tr>
    </w:tbl>
    <w:p>
      <w:pPr>
        <w:spacing w:after="20"/>
      </w:pPr>
    </w:p>
    <w:tbl>
      <w:tblPr>
        <w:tblW w:type="auto" w:w="0"/>
        <w:jc w:val="center"/>
        <w:tblLayout w:type="fixed"/>
        <w:tblLook w:firstColumn="1" w:firstRow="1" w:lastColumn="0" w:lastRow="0" w:noHBand="0" w:noVBand="1" w:val="04A0"/>
      </w:tblPr>
      <w:tblGrid>
        <w:gridCol w:w="5040"/>
        <w:gridCol w:w="5040"/>
      </w:tblGrid>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Version</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1.0 - PRD lock</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Date</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29 September 2026</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Target event</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Tameion Agents Hackathon - Canteen × Circle × Arc</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Primary RFB</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RFB 02 - AP/AR Automation Agent</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Secondary RFB</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RFB 04 - Autonomous Business Operator</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Product stage</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Hackathon MVP with real-business pilot</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Primary settlement</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USDC on Arc</w:t>
            </w:r>
          </w:p>
        </w:tc>
      </w:tr>
      <w:tr>
        <w:tc>
          <w:tcPr>
            <w:tcW w:type="dxa" w:w="2232"/>
            <w:shd w:fill="F4F7F6"/>
            <w:tcBorders>
              <w:top w:val="single" w:sz="2" w:color="C9D6D1"/>
              <w:left w:val="single" w:sz="2" w:color="C9D6D1"/>
              <w:bottom w:val="single" w:sz="2" w:color="C9D6D1"/>
              <w:right w:val="single" w:sz="2" w:color="C9D6D1"/>
            </w:tcBorders>
          </w:tcPr>
          <w:p>
            <w:r>
              <w:rPr>
                <w:rFonts w:ascii="Carlito" w:hAnsi="Carlito"/>
                <w:b/>
                <w:color w:val="173F35"/>
                <w:sz w:val="18"/>
              </w:rPr>
              <w:t>Document status</w:t>
            </w:r>
          </w:p>
        </w:tc>
        <w:tc>
          <w:tcPr>
            <w:tcW w:type="dxa" w:w="6840"/>
            <w:shd w:fill="FFFFFF"/>
            <w:tcBorders>
              <w:top w:val="single" w:sz="2" w:color="C9D6D1"/>
              <w:left w:val="single" w:sz="2" w:color="C9D6D1"/>
              <w:bottom w:val="single" w:sz="2" w:color="C9D6D1"/>
              <w:right w:val="single" w:sz="2" w:color="C9D6D1"/>
            </w:tcBorders>
          </w:tcPr>
          <w:p>
            <w:r>
              <w:rPr>
                <w:rFonts w:ascii="Carlito" w:hAnsi="Carlito"/>
                <w:sz w:val="18"/>
              </w:rPr>
              <w:t>Build-authoritative unless amended by written change log</w:t>
            </w:r>
          </w:p>
        </w:tc>
      </w:tr>
    </w:tbl>
    <w:p>
      <w:pPr>
        <w:spacing w:before="320"/>
      </w:pPr>
      <w:r>
        <w:rPr>
          <w:rFonts w:ascii="Carlito" w:hAnsi="Carlito"/>
          <w:b/>
          <w:color w:val="173F35"/>
          <w:sz w:val="20"/>
        </w:rPr>
        <w:t>One-line pitch</w:t>
      </w:r>
    </w:p>
    <w:p>
      <w:pPr>
        <w:ind w:left="360" w:right="360"/>
      </w:pPr>
      <w:r>
        <w:rPr>
          <w:rFonts w:ascii="Carlito" w:hAnsi="Carlito"/>
          <w:i/>
          <w:color w:val="17211E"/>
          <w:sz w:val="22"/>
        </w:rPr>
        <w:t>Euthyna is an autonomous accounts-payable agent that decides when and how a business should pay, while an independent evidence witness proves that the obligation, vendor, amount, delivery, and payout destination are valid before any USDC can move.</w:t>
      </w:r>
    </w:p>
    <w:p>
      <w:r>
        <w:br w:type="page"/>
      </w:r>
    </w:p>
    <w:p>
      <w:pPr>
        <w:pStyle w:val="Heading1"/>
        <w:keepNext/>
        <w:spacing w:before="200" w:after="80"/>
      </w:pPr>
      <w:r>
        <w:rPr>
          <w:rFonts w:ascii="Carlito" w:hAnsi="Carlito"/>
          <w:b/>
          <w:color w:val="173F35"/>
          <w:sz w:val="36"/>
        </w:rPr>
        <w:t>0. Contents</w:t>
      </w:r>
    </w:p>
    <w:p>
      <w:pPr>
        <w:pStyle w:val="ListBullet"/>
        <w:spacing w:after="80"/>
        <w:ind w:left="317" w:hanging="173"/>
      </w:pPr>
      <w:r>
        <w:rPr>
          <w:rFonts w:ascii="Carlito" w:hAnsi="Carlito"/>
        </w:rPr>
        <w:t>1. Executive Summary</w:t>
      </w:r>
    </w:p>
    <w:p>
      <w:pPr>
        <w:pStyle w:val="ListBullet"/>
        <w:spacing w:after="80"/>
        <w:ind w:left="317" w:hanging="173"/>
      </w:pPr>
      <w:r>
        <w:rPr>
          <w:rFonts w:ascii="Carlito" w:hAnsi="Carlito"/>
        </w:rPr>
        <w:t>2. Source-Derived Hackathon Constraints</w:t>
      </w:r>
    </w:p>
    <w:p>
      <w:pPr>
        <w:pStyle w:val="ListBullet"/>
        <w:spacing w:after="80"/>
        <w:ind w:left="317" w:hanging="173"/>
      </w:pPr>
      <w:r>
        <w:rPr>
          <w:rFonts w:ascii="Carlito" w:hAnsi="Carlito"/>
        </w:rPr>
        <w:t>3. Product Thesis and Differentiation</w:t>
      </w:r>
    </w:p>
    <w:p>
      <w:pPr>
        <w:pStyle w:val="ListBullet"/>
        <w:spacing w:after="80"/>
        <w:ind w:left="317" w:hanging="173"/>
      </w:pPr>
      <w:r>
        <w:rPr>
          <w:rFonts w:ascii="Carlito" w:hAnsi="Carlito"/>
        </w:rPr>
        <w:t>4. Problem Definition</w:t>
      </w:r>
    </w:p>
    <w:p>
      <w:pPr>
        <w:pStyle w:val="ListBullet"/>
        <w:spacing w:after="80"/>
        <w:ind w:left="317" w:hanging="173"/>
      </w:pPr>
      <w:r>
        <w:rPr>
          <w:rFonts w:ascii="Carlito" w:hAnsi="Carlito"/>
        </w:rPr>
        <w:t>5. Target Users and Jobs-to-be-Done</w:t>
      </w:r>
    </w:p>
    <w:p>
      <w:pPr>
        <w:pStyle w:val="ListBullet"/>
        <w:spacing w:after="80"/>
        <w:ind w:left="317" w:hanging="173"/>
      </w:pPr>
      <w:r>
        <w:rPr>
          <w:rFonts w:ascii="Carlito" w:hAnsi="Carlito"/>
        </w:rPr>
        <w:t>6. Goals, Non-Goals, and Product Principles</w:t>
      </w:r>
    </w:p>
    <w:p>
      <w:pPr>
        <w:pStyle w:val="ListBullet"/>
        <w:spacing w:after="80"/>
        <w:ind w:left="317" w:hanging="173"/>
      </w:pPr>
      <w:r>
        <w:rPr>
          <w:rFonts w:ascii="Carlito" w:hAnsi="Carlito"/>
        </w:rPr>
        <w:t>7. Product Scope and Release Priorities</w:t>
      </w:r>
    </w:p>
    <w:p>
      <w:pPr>
        <w:pStyle w:val="ListBullet"/>
        <w:spacing w:after="80"/>
        <w:ind w:left="317" w:hanging="173"/>
      </w:pPr>
      <w:r>
        <w:rPr>
          <w:rFonts w:ascii="Carlito" w:hAnsi="Carlito"/>
        </w:rPr>
        <w:t>8. End-to-End Architecture</w:t>
      </w:r>
    </w:p>
    <w:p>
      <w:pPr>
        <w:pStyle w:val="ListBullet"/>
        <w:spacing w:after="80"/>
        <w:ind w:left="317" w:hanging="173"/>
      </w:pPr>
      <w:r>
        <w:rPr>
          <w:rFonts w:ascii="Carlito" w:hAnsi="Carlito"/>
        </w:rPr>
        <w:t>9. Core Domain Model</w:t>
      </w:r>
    </w:p>
    <w:p>
      <w:pPr>
        <w:pStyle w:val="ListBullet"/>
        <w:spacing w:after="80"/>
        <w:ind w:left="317" w:hanging="173"/>
      </w:pPr>
      <w:r>
        <w:rPr>
          <w:rFonts w:ascii="Carlito" w:hAnsi="Carlito"/>
        </w:rPr>
        <w:t>10. Evidence and Witness Engine</w:t>
      </w:r>
    </w:p>
    <w:p>
      <w:pPr>
        <w:pStyle w:val="ListBullet"/>
        <w:spacing w:after="80"/>
        <w:ind w:left="317" w:hanging="173"/>
      </w:pPr>
      <w:r>
        <w:rPr>
          <w:rFonts w:ascii="Carlito" w:hAnsi="Carlito"/>
        </w:rPr>
        <w:t>11. Agent Decision Engine</w:t>
      </w:r>
    </w:p>
    <w:p>
      <w:pPr>
        <w:pStyle w:val="ListBullet"/>
        <w:spacing w:after="80"/>
        <w:ind w:left="317" w:hanging="173"/>
      </w:pPr>
      <w:r>
        <w:rPr>
          <w:rFonts w:ascii="Carlito" w:hAnsi="Carlito"/>
        </w:rPr>
        <w:t>12. Authorization and Smart Contracts</w:t>
      </w:r>
    </w:p>
    <w:p>
      <w:pPr>
        <w:pStyle w:val="ListBullet"/>
        <w:spacing w:after="80"/>
        <w:ind w:left="317" w:hanging="173"/>
      </w:pPr>
      <w:r>
        <w:rPr>
          <w:rFonts w:ascii="Carlito" w:hAnsi="Carlito"/>
        </w:rPr>
        <w:t>13. Circle and Arc Integration</w:t>
      </w:r>
    </w:p>
    <w:p>
      <w:pPr>
        <w:pStyle w:val="ListBullet"/>
        <w:spacing w:after="80"/>
        <w:ind w:left="317" w:hanging="173"/>
      </w:pPr>
      <w:r>
        <w:rPr>
          <w:rFonts w:ascii="Carlito" w:hAnsi="Carlito"/>
        </w:rPr>
        <w:t>14. Optional Aomi Execution Simulation</w:t>
      </w:r>
    </w:p>
    <w:p>
      <w:pPr>
        <w:pStyle w:val="ListBullet"/>
        <w:spacing w:after="80"/>
        <w:ind w:left="317" w:hanging="173"/>
      </w:pPr>
      <w:r>
        <w:rPr>
          <w:rFonts w:ascii="Carlito" w:hAnsi="Carlito"/>
        </w:rPr>
        <w:t>15. Product Flows</w:t>
      </w:r>
    </w:p>
    <w:p>
      <w:pPr>
        <w:pStyle w:val="ListBullet"/>
        <w:spacing w:after="80"/>
        <w:ind w:left="317" w:hanging="173"/>
      </w:pPr>
      <w:r>
        <w:rPr>
          <w:rFonts w:ascii="Carlito" w:hAnsi="Carlito"/>
        </w:rPr>
        <w:t>16. Functional Requirements</w:t>
      </w:r>
    </w:p>
    <w:p>
      <w:pPr>
        <w:pStyle w:val="ListBullet"/>
        <w:spacing w:after="80"/>
        <w:ind w:left="317" w:hanging="173"/>
      </w:pPr>
      <w:r>
        <w:rPr>
          <w:rFonts w:ascii="Carlito" w:hAnsi="Carlito"/>
        </w:rPr>
        <w:t>17. Non-Functional Requirements</w:t>
      </w:r>
    </w:p>
    <w:p>
      <w:pPr>
        <w:pStyle w:val="ListBullet"/>
        <w:spacing w:after="80"/>
        <w:ind w:left="317" w:hanging="173"/>
      </w:pPr>
      <w:r>
        <w:rPr>
          <w:rFonts w:ascii="Carlito" w:hAnsi="Carlito"/>
        </w:rPr>
        <w:t>18. Data Model</w:t>
      </w:r>
    </w:p>
    <w:p>
      <w:pPr>
        <w:pStyle w:val="ListBullet"/>
        <w:spacing w:after="80"/>
        <w:ind w:left="317" w:hanging="173"/>
      </w:pPr>
      <w:r>
        <w:rPr>
          <w:rFonts w:ascii="Carlito" w:hAnsi="Carlito"/>
        </w:rPr>
        <w:t>19. API Surface</w:t>
      </w:r>
    </w:p>
    <w:p>
      <w:pPr>
        <w:pStyle w:val="ListBullet"/>
        <w:spacing w:after="80"/>
        <w:ind w:left="317" w:hanging="173"/>
      </w:pPr>
      <w:r>
        <w:rPr>
          <w:rFonts w:ascii="Carlito" w:hAnsi="Carlito"/>
        </w:rPr>
        <w:t>20. User Experience and Screens</w:t>
      </w:r>
    </w:p>
    <w:p>
      <w:pPr>
        <w:pStyle w:val="ListBullet"/>
        <w:spacing w:after="80"/>
        <w:ind w:left="317" w:hanging="173"/>
      </w:pPr>
      <w:r>
        <w:rPr>
          <w:rFonts w:ascii="Carlito" w:hAnsi="Carlito"/>
        </w:rPr>
        <w:t>21. Security and Threat Model</w:t>
      </w:r>
    </w:p>
    <w:p>
      <w:pPr>
        <w:pStyle w:val="ListBullet"/>
        <w:spacing w:after="80"/>
        <w:ind w:left="317" w:hanging="173"/>
      </w:pPr>
      <w:r>
        <w:rPr>
          <w:rFonts w:ascii="Carlito" w:hAnsi="Carlito"/>
        </w:rPr>
        <w:t>22. Observability, Audit, and Receipts</w:t>
      </w:r>
    </w:p>
    <w:p>
      <w:pPr>
        <w:pStyle w:val="ListBullet"/>
        <w:spacing w:after="80"/>
        <w:ind w:left="317" w:hanging="173"/>
      </w:pPr>
      <w:r>
        <w:rPr>
          <w:rFonts w:ascii="Carlito" w:hAnsi="Carlito"/>
        </w:rPr>
        <w:t>23. Metrics and Judging Alignment</w:t>
      </w:r>
    </w:p>
    <w:p>
      <w:pPr>
        <w:pStyle w:val="ListBullet"/>
        <w:spacing w:after="80"/>
        <w:ind w:left="317" w:hanging="173"/>
      </w:pPr>
      <w:r>
        <w:rPr>
          <w:rFonts w:ascii="Carlito" w:hAnsi="Carlito"/>
        </w:rPr>
        <w:t>24. Traction and Design-Partner Plan</w:t>
      </w:r>
    </w:p>
    <w:p>
      <w:pPr>
        <w:pStyle w:val="ListBullet"/>
        <w:spacing w:after="80"/>
        <w:ind w:left="317" w:hanging="173"/>
      </w:pPr>
      <w:r>
        <w:rPr>
          <w:rFonts w:ascii="Carlito" w:hAnsi="Carlito"/>
        </w:rPr>
        <w:t>25. Competitive Positioning - Bursar</w:t>
      </w:r>
    </w:p>
    <w:p>
      <w:pPr>
        <w:pStyle w:val="ListBullet"/>
        <w:spacing w:after="80"/>
        <w:ind w:left="317" w:hanging="173"/>
      </w:pPr>
      <w:r>
        <w:rPr>
          <w:rFonts w:ascii="Carlito" w:hAnsi="Carlito"/>
        </w:rPr>
        <w:t>26. Demo Script</w:t>
      </w:r>
    </w:p>
    <w:p>
      <w:pPr>
        <w:pStyle w:val="ListBullet"/>
        <w:spacing w:after="80"/>
        <w:ind w:left="317" w:hanging="173"/>
      </w:pPr>
      <w:r>
        <w:rPr>
          <w:rFonts w:ascii="Carlito" w:hAnsi="Carlito"/>
        </w:rPr>
        <w:t>27. Testing Strategy</w:t>
      </w:r>
    </w:p>
    <w:p>
      <w:pPr>
        <w:pStyle w:val="ListBullet"/>
        <w:spacing w:after="80"/>
        <w:ind w:left="317" w:hanging="173"/>
      </w:pPr>
      <w:r>
        <w:rPr>
          <w:rFonts w:ascii="Carlito" w:hAnsi="Carlito"/>
        </w:rPr>
        <w:t>28. Implementation Plan</w:t>
      </w:r>
    </w:p>
    <w:p>
      <w:pPr>
        <w:pStyle w:val="ListBullet"/>
        <w:spacing w:after="80"/>
        <w:ind w:left="317" w:hanging="173"/>
      </w:pPr>
      <w:r>
        <w:rPr>
          <w:rFonts w:ascii="Carlito" w:hAnsi="Carlito"/>
        </w:rPr>
        <w:t>29. Acceptance Criteria / Definition of Done</w:t>
      </w:r>
    </w:p>
    <w:p>
      <w:pPr>
        <w:pStyle w:val="ListBullet"/>
        <w:spacing w:after="80"/>
        <w:ind w:left="317" w:hanging="173"/>
      </w:pPr>
      <w:r>
        <w:rPr>
          <w:rFonts w:ascii="Carlito" w:hAnsi="Carlito"/>
        </w:rPr>
        <w:t>30. Risks and Mitigations</w:t>
      </w:r>
    </w:p>
    <w:p>
      <w:pPr>
        <w:pStyle w:val="ListBullet"/>
        <w:spacing w:after="80"/>
        <w:ind w:left="317" w:hanging="173"/>
      </w:pPr>
      <w:r>
        <w:rPr>
          <w:rFonts w:ascii="Carlito" w:hAnsi="Carlito"/>
        </w:rPr>
        <w:t>31. Post-Hackathon Roadmap</w:t>
      </w:r>
    </w:p>
    <w:p>
      <w:pPr>
        <w:pStyle w:val="ListBullet"/>
        <w:spacing w:after="80"/>
        <w:ind w:left="317" w:hanging="173"/>
      </w:pPr>
      <w:r>
        <w:rPr>
          <w:rFonts w:ascii="Carlito" w:hAnsi="Carlito"/>
        </w:rPr>
        <w:t>32. Out of Scope</w:t>
      </w:r>
    </w:p>
    <w:p>
      <w:pPr>
        <w:pStyle w:val="ListBullet"/>
        <w:spacing w:after="80"/>
        <w:ind w:left="317" w:hanging="173"/>
      </w:pPr>
      <w:r>
        <w:rPr>
          <w:rFonts w:ascii="Carlito" w:hAnsi="Carlito"/>
        </w:rPr>
        <w:t>33. Open Questions and Change Control</w:t>
      </w:r>
    </w:p>
    <w:p>
      <w:pPr>
        <w:pStyle w:val="ListBullet"/>
        <w:spacing w:after="80"/>
        <w:ind w:left="317" w:hanging="173"/>
      </w:pPr>
      <w:r>
        <w:rPr>
          <w:rFonts w:ascii="Carlito" w:hAnsi="Carlito"/>
        </w:rPr>
        <w:t>Appendix A. Example Schemas</w:t>
      </w:r>
    </w:p>
    <w:p>
      <w:pPr>
        <w:pStyle w:val="ListBullet"/>
        <w:spacing w:after="80"/>
        <w:ind w:left="317" w:hanging="173"/>
      </w:pPr>
      <w:r>
        <w:rPr>
          <w:rFonts w:ascii="Carlito" w:hAnsi="Carlito"/>
        </w:rPr>
        <w:t>Appendix B. Contract Interface Sketch</w:t>
      </w:r>
    </w:p>
    <w:p>
      <w:pPr>
        <w:pStyle w:val="ListBullet"/>
        <w:spacing w:after="80"/>
        <w:ind w:left="317" w:hanging="173"/>
      </w:pPr>
      <w:r>
        <w:rPr>
          <w:rFonts w:ascii="Carlito" w:hAnsi="Carlito"/>
        </w:rPr>
        <w:t>Appendix C. Source Basis</w:t>
      </w:r>
    </w:p>
    <w:p>
      <w:pPr>
        <w:pStyle w:val="Heading1"/>
        <w:keepNext/>
        <w:spacing w:before="200" w:after="80"/>
      </w:pPr>
      <w:r>
        <w:rPr>
          <w:rFonts w:ascii="Carlito" w:hAnsi="Carlito"/>
          <w:b/>
          <w:color w:val="173F35"/>
          <w:sz w:val="36"/>
        </w:rPr>
        <w:t>1. Executive Summary</w:t>
      </w:r>
    </w:p>
    <w:p>
      <w:pPr>
        <w:spacing w:after="100"/>
      </w:pPr>
      <w:r>
        <w:rPr>
          <w:rFonts w:ascii="Carlito" w:hAnsi="Carlito"/>
          <w:i w:val="0"/>
        </w:rPr>
        <w:t>Euthyna is a proof-of-obligation and autonomous payment-control product for small businesses that want AI agents to manage accounts payable without giving the model unilateral authority over company money. The product separates financial judgment from factual verification and from final authorization.</w:t>
      </w: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Product invariant</w:t>
            </w:r>
          </w:p>
          <w:p>
            <w:pPr>
              <w:spacing w:after="0"/>
            </w:pPr>
            <w:r>
              <w:rPr>
                <w:rFonts w:ascii="Carlito" w:hAnsi="Carlito"/>
                <w:sz w:val="20"/>
              </w:rPr>
              <w:t>No payment is executable merely because a model says “pay.” A payment becomes executable only after the obligation is independently verified, the current payout destination is valid, the payment is within hard policy, and the on-chain authorization is still fresh.</w:t>
            </w:r>
          </w:p>
        </w:tc>
      </w:tr>
    </w:tbl>
    <w:p>
      <w:pPr>
        <w:spacing w:after="20"/>
      </w:pPr>
    </w:p>
    <w:p>
      <w:pPr>
        <w:spacing w:after="100"/>
      </w:pPr>
      <w:r>
        <w:rPr>
          <w:rFonts w:ascii="Carlito" w:hAnsi="Carlito"/>
          <w:i w:val="0"/>
        </w:rPr>
        <w:t>Euthyna is intentionally narrower than a generic “AI CFO.” The MVP focuses on one crisp economic event: a business paying a vendor or contractor obligation. The agent may decide timing and prioritization; the witness decides whether the obligation is real; the smart contract decides whether the requested transfer is authorized; Arc provides deterministic USDC settlement.</w:t>
      </w:r>
    </w:p>
    <w:p>
      <w:pPr>
        <w:pStyle w:val="Heading2"/>
        <w:keepNext/>
        <w:spacing w:before="120" w:after="80"/>
      </w:pPr>
      <w:r>
        <w:rPr>
          <w:rFonts w:ascii="Carlito" w:hAnsi="Carlito"/>
          <w:b/>
          <w:color w:val="17211E"/>
          <w:sz w:val="26"/>
        </w:rPr>
        <w:t>1.1 Why this product now</w:t>
      </w:r>
    </w:p>
    <w:p>
      <w:pPr>
        <w:pStyle w:val="ListBullet"/>
        <w:spacing w:after="80"/>
        <w:ind w:left="317" w:hanging="173"/>
      </w:pPr>
      <w:r>
        <w:rPr>
          <w:rFonts w:ascii="Carlito" w:hAnsi="Carlito"/>
          <w:b/>
        </w:rPr>
        <w:t xml:space="preserve">Agentic finance creates a new failure class. </w:t>
      </w:r>
      <w:r>
        <w:rPr>
          <w:rFonts w:ascii="Carlito" w:hAnsi="Carlito"/>
        </w:rPr>
        <w:t>A ledger can balance while the agent pays the wrong vendor, the wrong amount, or the same invoice twice. Tameion explicitly frames this as a design problem for agent-run finance. [S1][S2]</w:t>
      </w:r>
    </w:p>
    <w:p>
      <w:pPr>
        <w:pStyle w:val="ListBullet"/>
        <w:spacing w:after="80"/>
        <w:ind w:left="317" w:hanging="173"/>
      </w:pPr>
      <w:r>
        <w:rPr>
          <w:rFonts w:ascii="Carlito" w:hAnsi="Carlito"/>
          <w:b/>
        </w:rPr>
        <w:t xml:space="preserve">AP is a stated Tameion problem. </w:t>
      </w:r>
      <w:r>
        <w:rPr>
          <w:rFonts w:ascii="Carlito" w:hAnsi="Carlito"/>
        </w:rPr>
        <w:t>The kickoff names invoice reading, payment timing, vendor-wallet screening, matching payments to invoices, duplicate detection, and cash preservation as relevant RFB 02 behaviors. [S2]</w:t>
      </w:r>
    </w:p>
    <w:p>
      <w:pPr>
        <w:pStyle w:val="ListBullet"/>
        <w:spacing w:after="80"/>
        <w:ind w:left="317" w:hanging="173"/>
      </w:pPr>
      <w:r>
        <w:rPr>
          <w:rFonts w:ascii="Carlito" w:hAnsi="Carlito"/>
          <w:b/>
        </w:rPr>
        <w:t xml:space="preserve">The judging rubric rewards both agency and real usage. </w:t>
      </w:r>
      <w:r>
        <w:rPr>
          <w:rFonts w:ascii="Carlito" w:hAnsi="Carlito"/>
        </w:rPr>
        <w:t>Agentic sophistication and traction each carry 30%; Circle usage and innovation carry 20% each. Mainnet activity is not mandatory but is valued more than testnet activity. [S1][S2][S3]</w:t>
      </w:r>
    </w:p>
    <w:p>
      <w:pPr>
        <w:pStyle w:val="ListBullet"/>
        <w:spacing w:after="80"/>
        <w:ind w:left="317" w:hanging="173"/>
      </w:pPr>
      <w:r>
        <w:rPr>
          <w:rFonts w:ascii="Carlito" w:hAnsi="Carlito"/>
          <w:b/>
        </w:rPr>
        <w:t xml:space="preserve">Generic spend-control is already competitive. </w:t>
      </w:r>
      <w:r>
        <w:rPr>
          <w:rFonts w:ascii="Carlito" w:hAnsi="Carlito"/>
        </w:rPr>
        <w:t>Bursar demonstrates strong job-scoped budgets, approvals, payee allowlists, idempotency, audit anchoring, and on-chain enforcement. Euthyna therefore differentiates on proving the business obligation itself rather than re-implementing multi-agent budget control. [S5]</w:t>
      </w:r>
    </w:p>
    <w:p>
      <w:pPr>
        <w:pStyle w:val="Heading2"/>
        <w:keepNext/>
        <w:spacing w:before="120" w:after="80"/>
      </w:pPr>
      <w:r>
        <w:rPr>
          <w:rFonts w:ascii="Carlito" w:hAnsi="Carlito"/>
          <w:b/>
          <w:color w:val="17211E"/>
          <w:sz w:val="26"/>
        </w:rPr>
        <w:t>1.2 MVP success statement</w:t>
      </w:r>
    </w:p>
    <w:p>
      <w:pPr>
        <w:spacing w:after="100"/>
      </w:pPr>
      <w:r>
        <w:rPr>
          <w:rFonts w:ascii="Carlito" w:hAnsi="Carlito"/>
          <w:i w:val="0"/>
        </w:rPr>
        <w:t>By submission time, a reviewer should be able to open a live product, inspect at least one real-business obligation, see the agent make a non-trivial payment-timing decision, see Euthyna verify the supporting evidence, observe a real or test USDC settlement on Arc, and reproduce at least one adversarial HOLD/REJECT case such as a duplicate obligation or a changed payout destination.</w:t>
      </w:r>
    </w:p>
    <w:p>
      <w:pPr>
        <w:pStyle w:val="Heading1"/>
        <w:keepNext/>
        <w:spacing w:before="200" w:after="80"/>
      </w:pPr>
      <w:r>
        <w:rPr>
          <w:rFonts w:ascii="Carlito" w:hAnsi="Carlito"/>
          <w:b/>
          <w:color w:val="173F35"/>
          <w:sz w:val="36"/>
        </w:rPr>
        <w:t>2. Source-Derived Hackathon Constraints</w:t>
      </w:r>
    </w:p>
    <w:p>
      <w:pPr>
        <w:spacing w:after="140"/>
      </w:pPr>
      <w:r>
        <w:rPr>
          <w:rFonts w:ascii="Carlito" w:hAnsi="Carlito"/>
          <w:i/>
          <w:color w:val="5E6A66"/>
          <w:sz w:val="19"/>
        </w:rPr>
        <w:t>This section records organizer facts separately from Euthyna product choices.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Constraint</w:t>
            </w:r>
          </w:p>
        </w:tc>
        <w:tc>
          <w:tcPr>
            <w:tcW w:type="dxa" w:w="367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Source-derived requirement / signal</w:t>
            </w:r>
          </w:p>
        </w:tc>
        <w:tc>
          <w:tcPr>
            <w:tcW w:type="dxa" w:w="396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Implication for Euthyna</w:t>
            </w:r>
          </w:p>
        </w:tc>
      </w:tr>
      <w:tr>
        <w:tc>
          <w:tcPr>
            <w:tcW w:type="dxa" w:w="15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Judging</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30% agentic sophistication; 30% traction; 20% Circle tool usage; 20% innovation.</w:t>
            </w:r>
          </w:p>
        </w:tc>
        <w:tc>
          <w:tcPr>
            <w:tcW w:type="dxa" w:w="396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Do not let the witness reduce the agent to a cron job. Demonstrate real prioritization and real business use.</w:t>
            </w:r>
          </w:p>
        </w:tc>
      </w:tr>
      <w:tr>
        <w:tc>
          <w:tcPr>
            <w:tcW w:type="dxa" w:w="15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RFB 02 metrics</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Invoices processed, payment volume, payable/receivable timing, duplicate invoices caught.</w:t>
            </w:r>
          </w:p>
        </w:tc>
        <w:tc>
          <w:tcPr>
            <w:tcW w:type="dxa" w:w="396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Instrument these from day one; expose them in the reviewer dashboard.</w:t>
            </w:r>
          </w:p>
        </w:tc>
      </w:tr>
      <w:tr>
        <w:tc>
          <w:tcPr>
            <w:tcW w:type="dxa" w:w="15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RFB 04 metrics</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Businesses operated, USDC received/paid, obligations settled without human touch, decisions vs escalations, human agreement rate.</w:t>
            </w:r>
          </w:p>
        </w:tc>
        <w:tc>
          <w:tcPr>
            <w:tcW w:type="dxa" w:w="396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Store decision and escalation events as first-class analytics.</w:t>
            </w:r>
          </w:p>
        </w:tc>
      </w:tr>
      <w:tr>
        <w:tc>
          <w:tcPr>
            <w:tcW w:type="dxa" w:w="15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Traction</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Synthetic datasets do not count. Small businesses, freelancers and small agencies do. Mainnet counts more than testnet.</w:t>
            </w:r>
          </w:p>
        </w:tc>
        <w:tc>
          <w:tcPr>
            <w:tcW w:type="dxa" w:w="396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Secure 1-2 real design partners early; keep adversarial test data explicitly separate from traction.</w:t>
            </w:r>
          </w:p>
        </w:tc>
      </w:tr>
      <w:tr>
        <w:tc>
          <w:tcPr>
            <w:tcW w:type="dxa" w:w="15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Guardrails</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Contracts are recommended for strict agent rules that cannot be ignored.</w:t>
            </w:r>
          </w:p>
        </w:tc>
        <w:tc>
          <w:tcPr>
            <w:tcW w:type="dxa" w:w="396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Final authorization belongs outside the LLM.</w:t>
            </w:r>
          </w:p>
        </w:tc>
      </w:tr>
      <w:tr>
        <w:tc>
          <w:tcPr>
            <w:tcW w:type="dxa" w:w="15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 operations</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 Canteen CLI/RPC is the hackathon interface; product and traction updates can be submitted through it.</w:t>
            </w:r>
          </w:p>
        </w:tc>
        <w:tc>
          <w:tcPr>
            <w:tcW w:type="dxa" w:w="396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Use the assigned RPC/configuration and submit updates regularly.</w:t>
            </w:r>
          </w:p>
        </w:tc>
      </w:tr>
      <w:tr>
        <w:tc>
          <w:tcPr>
            <w:tcW w:type="dxa" w:w="15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Submission</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Public GitHub, &lt;3-minute video, live product strongly encouraged; repeated submissions allowed.</w:t>
            </w:r>
          </w:p>
        </w:tc>
        <w:tc>
          <w:tcPr>
            <w:tcW w:type="dxa" w:w="396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Build for an asynchronous reviewer with no founder present.</w:t>
            </w:r>
          </w:p>
        </w:tc>
      </w:tr>
    </w:tbl>
    <w:p>
      <w:pPr>
        <w:spacing w:after="20"/>
      </w:pP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Important interpretation</w:t>
            </w:r>
          </w:p>
          <w:p>
            <w:pPr>
              <w:spacing w:after="0"/>
            </w:pPr>
            <w:r>
              <w:rPr>
                <w:rFonts w:ascii="Carlito" w:hAnsi="Carlito"/>
                <w:sz w:val="20"/>
              </w:rPr>
              <w:t>The RFBs are prompts, not tracks. Euthyna is primarily RFB 02 and secondarily RFB 04, but its differentiation should be described as a general proof-of-obligation primitive rather than as “another invoice automation tool.”</w:t>
            </w:r>
          </w:p>
        </w:tc>
      </w:tr>
    </w:tbl>
    <w:p>
      <w:pPr>
        <w:spacing w:after="20"/>
      </w:pPr>
    </w:p>
    <w:p>
      <w:pPr>
        <w:pStyle w:val="Heading1"/>
        <w:keepNext/>
        <w:spacing w:before="200" w:after="80"/>
      </w:pPr>
      <w:r>
        <w:rPr>
          <w:rFonts w:ascii="Carlito" w:hAnsi="Carlito"/>
          <w:b/>
          <w:color w:val="173F35"/>
          <w:sz w:val="36"/>
        </w:rPr>
        <w:t>3. Product Thesis and Differentiation</w:t>
      </w:r>
    </w:p>
    <w:p>
      <w:pPr>
        <w:pStyle w:val="Heading2"/>
        <w:keepNext/>
        <w:spacing w:before="120" w:after="80"/>
      </w:pPr>
      <w:r>
        <w:rPr>
          <w:rFonts w:ascii="Carlito" w:hAnsi="Carlito"/>
          <w:b/>
          <w:color w:val="17211E"/>
          <w:sz w:val="26"/>
        </w:rPr>
        <w:t>3.1 The product thesis</w:t>
      </w:r>
    </w:p>
    <w:p>
      <w:pPr>
        <w:spacing w:after="100"/>
      </w:pPr>
      <w:r>
        <w:rPr>
          <w:rFonts w:ascii="Carlito" w:hAnsi="Carlito"/>
          <w:i w:val="0"/>
        </w:rPr>
        <w:t>A budget-compliant payment can still be fraudulent or wrong. Budget systems answer whether an agent may spend. Euthyna answers whether there is a legitimate business obligation to pay, whether the destination still belongs to that vendor, and whether the payment request faithfully represents the obligation.</w:t>
      </w:r>
    </w:p>
    <w:tbl>
      <w:tblPr>
        <w:tblW w:type="auto" w:w="0"/>
        <w:jc w:val="center"/>
        <w:tblLayout w:type="fixed"/>
        <w:tblLook w:firstColumn="1" w:firstRow="1" w:lastColumn="0" w:lastRow="0" w:noHBand="0" w:noVBand="1" w:val="04A0"/>
      </w:tblPr>
      <w:tblGrid>
        <w:gridCol w:w="9144"/>
      </w:tblGrid>
      <w:tr>
        <w:tc>
          <w:tcPr>
            <w:tcW w:type="dxa" w:w="10080"/>
            <w:shd w:fill="FFF4DF"/>
            <w:tcBorders>
              <w:top w:val="single" w:sz="8" w:color="173F35"/>
              <w:left w:val="single" w:sz="4" w:color="C9D6D1"/>
              <w:bottom w:val="single" w:sz="4" w:color="C9D6D1"/>
              <w:right w:val="single" w:sz="4" w:color="C9D6D1"/>
            </w:tcBorders>
          </w:tcPr>
          <w:p>
            <w:pPr>
              <w:spacing w:after="40"/>
            </w:pPr>
            <w:r>
              <w:rPr>
                <w:rFonts w:ascii="Carlito" w:hAnsi="Carlito"/>
                <w:b/>
                <w:color w:val="A56A14"/>
                <w:sz w:val="21"/>
              </w:rPr>
              <w:t>Core positioning</w:t>
            </w:r>
          </w:p>
          <w:p>
            <w:pPr>
              <w:spacing w:after="0"/>
            </w:pPr>
            <w:r>
              <w:rPr>
                <w:rFonts w:ascii="Carlito" w:hAnsi="Carlito"/>
                <w:sz w:val="20"/>
              </w:rPr>
              <w:t>Budget controls answer “can the agent spend?” Euthyna answers “should this payment exist at all?”</w:t>
            </w:r>
          </w:p>
        </w:tc>
      </w:tr>
    </w:tbl>
    <w:p>
      <w:pPr>
        <w:spacing w:after="20"/>
      </w:pPr>
    </w:p>
    <w:p>
      <w:pPr>
        <w:pStyle w:val="Heading2"/>
        <w:keepNext/>
        <w:spacing w:before="120" w:after="80"/>
      </w:pPr>
      <w:r>
        <w:rPr>
          <w:rFonts w:ascii="Carlito" w:hAnsi="Carlito"/>
          <w:b/>
          <w:color w:val="17211E"/>
          <w:sz w:val="26"/>
        </w:rPr>
        <w:t>3.2 Three independent trust layers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51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Layer</w:t>
            </w:r>
          </w:p>
        </w:tc>
        <w:tc>
          <w:tcPr>
            <w:tcW w:type="dxa" w:w="338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Question</w:t>
            </w:r>
          </w:p>
        </w:tc>
        <w:tc>
          <w:tcPr>
            <w:tcW w:type="dxa" w:w="208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Owner</w:t>
            </w:r>
          </w:p>
        </w:tc>
        <w:tc>
          <w:tcPr>
            <w:tcW w:type="dxa" w:w="288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Hard boundary</w:t>
            </w:r>
          </w:p>
        </w:tc>
      </w:tr>
      <w:tr>
        <w:tc>
          <w:tcPr>
            <w:tcW w:type="dxa" w:w="15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Judgment</w:t>
            </w:r>
          </w:p>
        </w:tc>
        <w:tc>
          <w:tcPr>
            <w:tcW w:type="dxa" w:w="338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Which verified obligation should be paid, when, and why?</w:t>
            </w:r>
          </w:p>
        </w:tc>
        <w:tc>
          <w:tcPr>
            <w:tcW w:type="dxa" w:w="20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Decision Agent</w:t>
            </w:r>
          </w:p>
        </w:tc>
        <w:tc>
          <w:tcPr>
            <w:tcW w:type="dxa" w:w="28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Cannot create or alter evidence; cannot bypass witness or contract.</w:t>
            </w:r>
          </w:p>
        </w:tc>
      </w:tr>
      <w:tr>
        <w:tc>
          <w:tcPr>
            <w:tcW w:type="dxa" w:w="15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Truth</w:t>
            </w:r>
          </w:p>
        </w:tc>
        <w:tc>
          <w:tcPr>
            <w:tcW w:type="dxa" w:w="338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Is the obligation real, matched, unduplicated, delivered, and addressed to the verified vendor destination?</w:t>
            </w:r>
          </w:p>
        </w:tc>
        <w:tc>
          <w:tcPr>
            <w:tcW w:type="dxa" w:w="20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Evidence Witness</w:t>
            </w:r>
          </w:p>
        </w:tc>
        <w:tc>
          <w:tcPr>
            <w:tcW w:type="dxa" w:w="28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Deterministic checks and source provenance; model extraction is not authority.</w:t>
            </w:r>
          </w:p>
        </w:tc>
      </w:tr>
      <w:tr>
        <w:tc>
          <w:tcPr>
            <w:tcW w:type="dxa" w:w="15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Authority</w:t>
            </w:r>
          </w:p>
        </w:tc>
        <w:tc>
          <w:tcPr>
            <w:tcW w:type="dxa" w:w="338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Is the verified payment allowed under current policy and authorization?</w:t>
            </w:r>
          </w:p>
        </w:tc>
        <w:tc>
          <w:tcPr>
            <w:tcW w:type="dxa" w:w="20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ObligationVault / owner policy</w:t>
            </w:r>
          </w:p>
        </w:tc>
        <w:tc>
          <w:tcPr>
            <w:tcW w:type="dxa" w:w="28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On-chain checks, one-time obligation ID, fresh versions/signatures.</w:t>
            </w:r>
          </w:p>
        </w:tc>
      </w:tr>
      <w:tr>
        <w:tc>
          <w:tcPr>
            <w:tcW w:type="dxa" w:w="15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Execution safety</w:t>
            </w:r>
          </w:p>
        </w:tc>
        <w:tc>
          <w:tcPr>
            <w:tcW w:type="dxa" w:w="338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Will the proposed transaction produce the expected chain-state change?</w:t>
            </w:r>
          </w:p>
        </w:tc>
        <w:tc>
          <w:tcPr>
            <w:tcW w:type="dxa" w:w="20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Simulation adapter / chain preflight</w:t>
            </w:r>
          </w:p>
        </w:tc>
        <w:tc>
          <w:tcPr>
            <w:tcW w:type="dxa" w:w="28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Optional Aomi or local fork simulation before broadcast.</w:t>
            </w:r>
          </w:p>
        </w:tc>
      </w:tr>
    </w:tbl>
    <w:p>
      <w:pPr>
        <w:spacing w:after="20"/>
      </w:pPr>
    </w:p>
    <w:p>
      <w:pPr>
        <w:pStyle w:val="Heading2"/>
        <w:keepNext/>
        <w:spacing w:before="120" w:after="80"/>
      </w:pPr>
      <w:r>
        <w:rPr>
          <w:rFonts w:ascii="Carlito" w:hAnsi="Carlito"/>
          <w:b/>
          <w:color w:val="17211E"/>
          <w:sz w:val="26"/>
        </w:rPr>
        <w:t>3.3 Product language</w:t>
      </w:r>
    </w:p>
    <w:p>
      <w:pPr>
        <w:pStyle w:val="ListBullet"/>
        <w:spacing w:after="80"/>
        <w:ind w:left="317" w:hanging="173"/>
      </w:pPr>
      <w:r>
        <w:rPr>
          <w:rFonts w:ascii="Carlito" w:hAnsi="Carlito"/>
          <w:b/>
        </w:rPr>
        <w:t xml:space="preserve">Primary tagline: </w:t>
      </w:r>
      <w:r>
        <w:rPr>
          <w:rFonts w:ascii="Carlito" w:hAnsi="Carlito"/>
        </w:rPr>
        <w:t>Before an agent can pay, Euthyna proves there is something to pay for.</w:t>
      </w:r>
    </w:p>
    <w:p>
      <w:pPr>
        <w:pStyle w:val="ListBullet"/>
        <w:spacing w:after="80"/>
        <w:ind w:left="317" w:hanging="173"/>
      </w:pPr>
      <w:r>
        <w:rPr>
          <w:rFonts w:ascii="Carlito" w:hAnsi="Carlito"/>
          <w:b/>
        </w:rPr>
        <w:t xml:space="preserve">Operational tagline: </w:t>
      </w:r>
      <w:r>
        <w:rPr>
          <w:rFonts w:ascii="Carlito" w:hAnsi="Carlito"/>
        </w:rPr>
        <w:t>Agent decides. Euthyna verifies the obligation. The contract authorizes. Arc settles.</w:t>
      </w:r>
    </w:p>
    <w:p>
      <w:pPr>
        <w:pStyle w:val="ListBullet"/>
        <w:spacing w:after="80"/>
        <w:ind w:left="317" w:hanging="173"/>
      </w:pPr>
      <w:r>
        <w:rPr>
          <w:rFonts w:ascii="Carlito" w:hAnsi="Carlito"/>
          <w:b/>
        </w:rPr>
        <w:t xml:space="preserve">Security line: </w:t>
      </w:r>
      <w:r>
        <w:rPr>
          <w:rFonts w:ascii="Carlito" w:hAnsi="Carlito"/>
        </w:rPr>
        <w:t>The model may recommend a payment. It can never make unverified evidence true.</w:t>
      </w:r>
    </w:p>
    <w:p>
      <w:pPr>
        <w:pStyle w:val="Heading2"/>
        <w:keepNext/>
        <w:spacing w:before="120" w:after="80"/>
      </w:pPr>
      <w:r>
        <w:rPr>
          <w:rFonts w:ascii="Carlito" w:hAnsi="Carlito"/>
          <w:b/>
          <w:color w:val="17211E"/>
          <w:sz w:val="26"/>
        </w:rPr>
        <w:t>3.4 Prior-winner design inference</w:t>
      </w:r>
    </w:p>
    <w:p>
      <w:pPr>
        <w:spacing w:after="100"/>
      </w:pPr>
      <w:r>
        <w:rPr>
          <w:rFonts w:ascii="Carlito" w:hAnsi="Carlito"/>
          <w:i w:val="0"/>
        </w:rPr>
        <w:t>The Canteen showcase suggests a recurring pattern among awarded projects: a non-trivial agent decision is paired with a hard external constraint, a real economic action, and evidence that can be checked afterward. This is an inference from prior projects, not an official judging rule. [S4]</w:t>
      </w:r>
    </w:p>
    <w:p>
      <w:pPr>
        <w:pStyle w:val="Heading1"/>
        <w:keepNext/>
        <w:spacing w:before="200" w:after="80"/>
      </w:pPr>
      <w:r>
        <w:rPr>
          <w:rFonts w:ascii="Carlito" w:hAnsi="Carlito"/>
          <w:b/>
          <w:color w:val="173F35"/>
          <w:sz w:val="36"/>
        </w:rPr>
        <w:t>4. Problem Definition</w:t>
      </w:r>
    </w:p>
    <w:p>
      <w:pPr>
        <w:pStyle w:val="Heading2"/>
        <w:keepNext/>
        <w:spacing w:before="120" w:after="80"/>
      </w:pPr>
      <w:r>
        <w:rPr>
          <w:rFonts w:ascii="Carlito" w:hAnsi="Carlito"/>
          <w:b/>
          <w:color w:val="17211E"/>
          <w:sz w:val="26"/>
        </w:rPr>
        <w:t>4.1 Primary problem</w:t>
      </w:r>
    </w:p>
    <w:p>
      <w:pPr>
        <w:spacing w:after="100"/>
      </w:pPr>
      <w:r>
        <w:rPr>
          <w:rFonts w:ascii="Carlito" w:hAnsi="Carlito"/>
          <w:i w:val="0"/>
        </w:rPr>
        <w:t>Small businesses already receive invoices, purchase orders, contracts, delivery confirmations, usage records, and vendor payment instructions across disconnected systems. A human typically decides whether the pieces agree and whether it is safe to pay. An autonomous agent can reduce that work, but a language model can also confidently pay a perfectly balanced transaction to the wrong counterparty.</w:t>
      </w:r>
    </w:p>
    <w:p>
      <w:pPr>
        <w:pStyle w:val="Heading2"/>
        <w:keepNext/>
        <w:spacing w:before="120" w:after="80"/>
      </w:pPr>
      <w:r>
        <w:rPr>
          <w:rFonts w:ascii="Carlito" w:hAnsi="Carlito"/>
          <w:b/>
          <w:color w:val="17211E"/>
          <w:sz w:val="26"/>
        </w:rPr>
        <w:t>4.2 Failure modes Euthyna must address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Failure mode</w:t>
            </w:r>
          </w:p>
        </w:tc>
        <w:tc>
          <w:tcPr>
            <w:tcW w:type="dxa" w:w="367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Example</w:t>
            </w:r>
          </w:p>
        </w:tc>
        <w:tc>
          <w:tcPr>
            <w:tcW w:type="dxa" w:w="43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Required product behavior</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Duplicate obligation</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Same invoice uploaded twice; same debt presented through email and PDF.</w:t>
            </w:r>
          </w:p>
        </w:tc>
        <w:tc>
          <w:tcPr>
            <w:tcW w:type="dxa" w:w="43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REJECT or merge before payment authorization; obligation ID remains single-use.</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Wrong vendor</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 amount is correct but assigned to a different vendor.</w:t>
            </w:r>
          </w:p>
        </w:tc>
        <w:tc>
          <w:tcPr>
            <w:tcW w:type="dxa" w:w="43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HOLD/REJECT on identity mismatch.</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Changed payout destination</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Vendor email or invoice suddenly contains a new wallet.</w:t>
            </w:r>
          </w:p>
        </w:tc>
        <w:tc>
          <w:tcPr>
            <w:tcW w:type="dxa" w:w="43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 until out-of-band owner re-verification; contract continues to recognize current verified destination only.</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Missing delivery evidence</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 exists but goods/service acceptance is absent.</w:t>
            </w:r>
          </w:p>
        </w:tc>
        <w:tc>
          <w:tcPr>
            <w:tcW w:type="dxa" w:w="43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 request missing evidence rather than silently infer completion.</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Amount mismatch</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PO/contract and invoice disagree outside configured tolerance.</w:t>
            </w:r>
          </w:p>
        </w:tc>
        <w:tc>
          <w:tcPr>
            <w:tcW w:type="dxa" w:w="43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 or REJECT with exact mismatch.</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Agent overconfidence</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Model says “looks valid” despite low-quality extraction.</w:t>
            </w:r>
          </w:p>
        </w:tc>
        <w:tc>
          <w:tcPr>
            <w:tcW w:type="dxa" w:w="43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Model confidence never constitutes authorization.</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Stale authorization</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Payment was approved under an older vendor or policy version.</w:t>
            </w:r>
          </w:p>
        </w:tc>
        <w:tc>
          <w:tcPr>
            <w:tcW w:type="dxa" w:w="43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Contract rejects stale version/signature.</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Retry/replay</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Worker crash retries an already-settled payment.</w:t>
            </w:r>
          </w:p>
        </w:tc>
        <w:tc>
          <w:tcPr>
            <w:tcW w:type="dxa" w:w="43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Same obligation/payment authorization must settle at most once.</w:t>
            </w:r>
          </w:p>
        </w:tc>
      </w:tr>
    </w:tbl>
    <w:p>
      <w:pPr>
        <w:spacing w:after="20"/>
      </w:pPr>
    </w:p>
    <w:p>
      <w:pPr>
        <w:pStyle w:val="Heading2"/>
        <w:keepNext/>
        <w:spacing w:before="120" w:after="80"/>
      </w:pPr>
      <w:r>
        <w:rPr>
          <w:rFonts w:ascii="Carlito" w:hAnsi="Carlito"/>
          <w:b/>
          <w:color w:val="17211E"/>
          <w:sz w:val="26"/>
        </w:rPr>
        <w:t>4.3 Non-problem</w:t>
      </w:r>
    </w:p>
    <w:p>
      <w:pPr>
        <w:spacing w:after="100"/>
      </w:pPr>
      <w:r>
        <w:rPr>
          <w:rFonts w:ascii="Carlito" w:hAnsi="Carlito"/>
          <w:i w:val="0"/>
        </w:rPr>
        <w:t>Euthyna is not trying to replace bookkeeping, ERP, procurement, treasury management, compliance screening, or generic multi-agent budget infrastructure in the MVP. It may interoperate with those systems later.</w:t>
      </w:r>
    </w:p>
    <w:p>
      <w:pPr>
        <w:pStyle w:val="Heading1"/>
        <w:keepNext/>
        <w:spacing w:before="200" w:after="80"/>
      </w:pPr>
      <w:r>
        <w:rPr>
          <w:rFonts w:ascii="Carlito" w:hAnsi="Carlito"/>
          <w:b/>
          <w:color w:val="173F35"/>
          <w:sz w:val="36"/>
        </w:rPr>
        <w:t>5. Target Users and Jobs-to-be-Done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65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Persona</w:t>
            </w:r>
          </w:p>
        </w:tc>
        <w:tc>
          <w:tcPr>
            <w:tcW w:type="dxa" w:w="302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Profile</w:t>
            </w:r>
          </w:p>
        </w:tc>
        <w:tc>
          <w:tcPr>
            <w:tcW w:type="dxa" w:w="360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Primary job</w:t>
            </w:r>
          </w:p>
        </w:tc>
        <w:tc>
          <w:tcPr>
            <w:tcW w:type="dxa" w:w="230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Success signal</w:t>
            </w:r>
          </w:p>
        </w:tc>
      </w:tr>
      <w:tr>
        <w:tc>
          <w:tcPr>
            <w:tcW w:type="dxa" w:w="16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Owner / operator</w:t>
            </w:r>
          </w:p>
        </w:tc>
        <w:tc>
          <w:tcPr>
            <w:tcW w:type="dxa" w:w="30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1-20 person agency, studio, services company, crypto-native SMB.</w:t>
            </w:r>
          </w:p>
        </w:tc>
        <w:tc>
          <w:tcPr>
            <w:tcW w:type="dxa" w:w="36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Let routine vendor obligations settle without personally reading every document.</w:t>
            </w:r>
          </w:p>
        </w:tc>
        <w:tc>
          <w:tcPr>
            <w:tcW w:type="dxa" w:w="230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Fewer touches per payment; no unsafe auto-payments.</w:t>
            </w:r>
          </w:p>
        </w:tc>
      </w:tr>
      <w:tr>
        <w:tc>
          <w:tcPr>
            <w:tcW w:type="dxa" w:w="16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Finance / ops lead</w:t>
            </w:r>
          </w:p>
        </w:tc>
        <w:tc>
          <w:tcPr>
            <w:tcW w:type="dxa" w:w="30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Bookkeeper or operations manager handling AP.</w:t>
            </w:r>
          </w:p>
        </w:tc>
        <w:tc>
          <w:tcPr>
            <w:tcW w:type="dxa" w:w="36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Turn fragmented evidence into a reviewable queue and only escalate exceptions.</w:t>
            </w:r>
          </w:p>
        </w:tc>
        <w:tc>
          <w:tcPr>
            <w:tcW w:type="dxa" w:w="230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High auto-verification rate with explainable holds.</w:t>
            </w:r>
          </w:p>
        </w:tc>
      </w:tr>
      <w:tr>
        <w:tc>
          <w:tcPr>
            <w:tcW w:type="dxa" w:w="16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Autonomous business agent</w:t>
            </w:r>
          </w:p>
        </w:tc>
        <w:tc>
          <w:tcPr>
            <w:tcW w:type="dxa" w:w="30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Software agent managing cash and obligations.</w:t>
            </w:r>
          </w:p>
        </w:tc>
        <w:tc>
          <w:tcPr>
            <w:tcW w:type="dxa" w:w="36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Decide timing/prioritization within verified facts and hard limits.</w:t>
            </w:r>
          </w:p>
        </w:tc>
        <w:tc>
          <w:tcPr>
            <w:tcW w:type="dxa" w:w="230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More obligations settled on time with fewer human touches.</w:t>
            </w:r>
          </w:p>
        </w:tc>
      </w:tr>
      <w:tr>
        <w:tc>
          <w:tcPr>
            <w:tcW w:type="dxa" w:w="16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Reviewer / judge</w:t>
            </w:r>
          </w:p>
        </w:tc>
        <w:tc>
          <w:tcPr>
            <w:tcW w:type="dxa" w:w="30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Asynchronous reviewer with limited time.</w:t>
            </w:r>
          </w:p>
        </w:tc>
        <w:tc>
          <w:tcPr>
            <w:tcW w:type="dxa" w:w="36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Understand the safety boundary and verify real settlement quickly.</w:t>
            </w:r>
          </w:p>
        </w:tc>
        <w:tc>
          <w:tcPr>
            <w:tcW w:type="dxa" w:w="230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Can reproduce proof and open Arc transactions without founder guidance.</w:t>
            </w:r>
          </w:p>
        </w:tc>
      </w:tr>
    </w:tbl>
    <w:p>
      <w:pPr>
        <w:spacing w:after="20"/>
      </w:pPr>
    </w:p>
    <w:p>
      <w:pPr>
        <w:pStyle w:val="Heading2"/>
        <w:keepNext/>
        <w:spacing w:before="120" w:after="80"/>
      </w:pPr>
      <w:r>
        <w:rPr>
          <w:rFonts w:ascii="Carlito" w:hAnsi="Carlito"/>
          <w:b/>
          <w:color w:val="17211E"/>
          <w:sz w:val="26"/>
        </w:rPr>
        <w:t>5.1 Primary ICP for hackathon traction</w:t>
      </w:r>
    </w:p>
    <w:p>
      <w:pPr>
        <w:spacing w:after="100"/>
      </w:pPr>
      <w:r>
        <w:rPr>
          <w:rFonts w:ascii="Carlito" w:hAnsi="Carlito"/>
          <w:i w:val="0"/>
        </w:rPr>
        <w:t>A small agency or services business that pays 2-10 recurring vendors or contractors, already stores invoices/contracts digitally, and is willing to route a low-value real USDC payment through Arc during the event. The pilot should be operationally simple enough to onboard in under one hour.</w:t>
      </w:r>
    </w:p>
    <w:p>
      <w:pPr>
        <w:pStyle w:val="Heading2"/>
        <w:keepNext/>
        <w:spacing w:before="120" w:after="80"/>
      </w:pPr>
      <w:r>
        <w:rPr>
          <w:rFonts w:ascii="Carlito" w:hAnsi="Carlito"/>
          <w:b/>
          <w:color w:val="17211E"/>
          <w:sz w:val="26"/>
        </w:rPr>
        <w:t>5.2 Core jobs-to-be-done</w:t>
      </w:r>
    </w:p>
    <w:p>
      <w:pPr>
        <w:pStyle w:val="ListBullet"/>
        <w:spacing w:after="80"/>
        <w:ind w:left="317" w:hanging="173"/>
      </w:pPr>
      <w:r>
        <w:rPr>
          <w:rFonts w:ascii="Carlito" w:hAnsi="Carlito"/>
        </w:rPr>
        <w:t>When a new invoice arrives, tell me whether it corresponds to a real obligation and what evidence is missing.</w:t>
      </w:r>
    </w:p>
    <w:p>
      <w:pPr>
        <w:pStyle w:val="ListBullet"/>
        <w:spacing w:after="80"/>
        <w:ind w:left="317" w:hanging="173"/>
      </w:pPr>
      <w:r>
        <w:rPr>
          <w:rFonts w:ascii="Carlito" w:hAnsi="Carlito"/>
        </w:rPr>
        <w:t>When several verified obligations compete for limited cash, choose a payment plan and explain the trade-offs.</w:t>
      </w:r>
    </w:p>
    <w:p>
      <w:pPr>
        <w:pStyle w:val="ListBullet"/>
        <w:spacing w:after="80"/>
        <w:ind w:left="317" w:hanging="173"/>
      </w:pPr>
      <w:r>
        <w:rPr>
          <w:rFonts w:ascii="Carlito" w:hAnsi="Carlito"/>
        </w:rPr>
        <w:t>When the payout destination changes, stop the payment until I independently confirm the change.</w:t>
      </w:r>
    </w:p>
    <w:p>
      <w:pPr>
        <w:pStyle w:val="ListBullet"/>
        <w:spacing w:after="80"/>
        <w:ind w:left="317" w:hanging="173"/>
      </w:pPr>
      <w:r>
        <w:rPr>
          <w:rFonts w:ascii="Carlito" w:hAnsi="Carlito"/>
        </w:rPr>
        <w:t>When the same obligation appears twice, refuse the second payment even if it comes through a different retry path.</w:t>
      </w:r>
    </w:p>
    <w:p>
      <w:pPr>
        <w:pStyle w:val="ListBullet"/>
        <w:spacing w:after="80"/>
        <w:ind w:left="317" w:hanging="173"/>
      </w:pPr>
      <w:r>
        <w:rPr>
          <w:rFonts w:ascii="Carlito" w:hAnsi="Carlito"/>
        </w:rPr>
        <w:t>After money moves, give me a compact receipt containing what the agent saw, what the witness verified, what policy allowed, and the Arc transaction.</w:t>
      </w:r>
    </w:p>
    <w:p>
      <w:pPr>
        <w:pStyle w:val="Heading1"/>
        <w:keepNext/>
        <w:spacing w:before="200" w:after="80"/>
      </w:pPr>
      <w:r>
        <w:rPr>
          <w:rFonts w:ascii="Carlito" w:hAnsi="Carlito"/>
          <w:b/>
          <w:color w:val="173F35"/>
          <w:sz w:val="36"/>
        </w:rPr>
        <w:t>6. Goals, Non-Goals, and Product Principles</w:t>
      </w:r>
    </w:p>
    <w:p>
      <w:pPr>
        <w:pStyle w:val="Heading2"/>
        <w:keepNext/>
        <w:spacing w:before="120" w:after="80"/>
      </w:pPr>
      <w:r>
        <w:rPr>
          <w:rFonts w:ascii="Carlito" w:hAnsi="Carlito"/>
          <w:b/>
          <w:color w:val="17211E"/>
          <w:sz w:val="26"/>
        </w:rPr>
        <w:t>6.1 Goals</w:t>
      </w:r>
    </w:p>
    <w:p>
      <w:pPr>
        <w:pStyle w:val="ListBullet"/>
        <w:spacing w:after="80"/>
        <w:ind w:left="317" w:hanging="173"/>
      </w:pPr>
      <w:r>
        <w:rPr>
          <w:rFonts w:ascii="Carlito" w:hAnsi="Carlito"/>
        </w:rPr>
        <w:t>Prove a vendor payment is backed by sufficient, traceable evidence before it becomes executable.</w:t>
      </w:r>
    </w:p>
    <w:p>
      <w:pPr>
        <w:pStyle w:val="ListBullet"/>
        <w:spacing w:after="80"/>
        <w:ind w:left="317" w:hanging="173"/>
      </w:pPr>
      <w:r>
        <w:rPr>
          <w:rFonts w:ascii="Carlito" w:hAnsi="Carlito"/>
        </w:rPr>
        <w:t>Demonstrate genuine agentic judgment through payment timing and prioritization among verified obligations.</w:t>
      </w:r>
    </w:p>
    <w:p>
      <w:pPr>
        <w:pStyle w:val="ListBullet"/>
        <w:spacing w:after="80"/>
        <w:ind w:left="317" w:hanging="173"/>
      </w:pPr>
      <w:r>
        <w:rPr>
          <w:rFonts w:ascii="Carlito" w:hAnsi="Carlito"/>
        </w:rPr>
        <w:t>Enforce one-time, fresh, policy-bound settlement outside the LLM.</w:t>
      </w:r>
    </w:p>
    <w:p>
      <w:pPr>
        <w:pStyle w:val="ListBullet"/>
        <w:spacing w:after="80"/>
        <w:ind w:left="317" w:hanging="173"/>
      </w:pPr>
      <w:r>
        <w:rPr>
          <w:rFonts w:ascii="Carlito" w:hAnsi="Carlito"/>
        </w:rPr>
        <w:t>Settle USDC on Arc and produce a reviewer-friendly decision receipt.</w:t>
      </w:r>
    </w:p>
    <w:p>
      <w:pPr>
        <w:pStyle w:val="ListBullet"/>
        <w:spacing w:after="80"/>
        <w:ind w:left="317" w:hanging="173"/>
      </w:pPr>
      <w:r>
        <w:rPr>
          <w:rFonts w:ascii="Carlito" w:hAnsi="Carlito"/>
        </w:rPr>
        <w:t>Generate Tameion-aligned traction and product metrics from real usage.</w:t>
      </w:r>
    </w:p>
    <w:p>
      <w:pPr>
        <w:pStyle w:val="ListBullet"/>
        <w:spacing w:after="80"/>
        <w:ind w:left="317" w:hanging="173"/>
      </w:pPr>
      <w:r>
        <w:rPr>
          <w:rFonts w:ascii="Carlito" w:hAnsi="Carlito"/>
        </w:rPr>
        <w:t>Keep sensitive business documents off-chain while anchoring only the minimum proof needed for auditability.</w:t>
      </w:r>
    </w:p>
    <w:p>
      <w:pPr>
        <w:pStyle w:val="Heading2"/>
        <w:keepNext/>
        <w:spacing w:before="120" w:after="80"/>
      </w:pPr>
      <w:r>
        <w:rPr>
          <w:rFonts w:ascii="Carlito" w:hAnsi="Carlito"/>
          <w:b/>
          <w:color w:val="17211E"/>
          <w:sz w:val="26"/>
        </w:rPr>
        <w:t>6.2 Non-goals</w:t>
      </w:r>
    </w:p>
    <w:p>
      <w:pPr>
        <w:pStyle w:val="ListBullet"/>
        <w:spacing w:after="80"/>
        <w:ind w:left="317" w:hanging="173"/>
      </w:pPr>
      <w:r>
        <w:rPr>
          <w:rFonts w:ascii="Carlito" w:hAnsi="Carlito"/>
        </w:rPr>
        <w:t>Full general ledger or double-entry accounting engine.</w:t>
      </w:r>
    </w:p>
    <w:p>
      <w:pPr>
        <w:pStyle w:val="ListBullet"/>
        <w:spacing w:after="80"/>
        <w:ind w:left="317" w:hanging="173"/>
      </w:pPr>
      <w:r>
        <w:rPr>
          <w:rFonts w:ascii="Carlito" w:hAnsi="Carlito"/>
        </w:rPr>
        <w:t>Accounts receivable collections automation in v1.</w:t>
      </w:r>
    </w:p>
    <w:p>
      <w:pPr>
        <w:pStyle w:val="ListBullet"/>
        <w:spacing w:after="80"/>
        <w:ind w:left="317" w:hanging="173"/>
      </w:pPr>
      <w:r>
        <w:rPr>
          <w:rFonts w:ascii="Carlito" w:hAnsi="Carlito"/>
        </w:rPr>
        <w:t>Generic agent-team shared-budget orchestration (Bursar covers this space strongly).</w:t>
      </w:r>
    </w:p>
    <w:p>
      <w:pPr>
        <w:pStyle w:val="ListBullet"/>
        <w:spacing w:after="80"/>
        <w:ind w:left="317" w:hanging="173"/>
      </w:pPr>
      <w:r>
        <w:rPr>
          <w:rFonts w:ascii="Carlito" w:hAnsi="Carlito"/>
        </w:rPr>
        <w:t>Building a novel OCR model or document parser.</w:t>
      </w:r>
    </w:p>
    <w:p>
      <w:pPr>
        <w:pStyle w:val="ListBullet"/>
        <w:spacing w:after="80"/>
        <w:ind w:left="317" w:hanging="173"/>
      </w:pPr>
      <w:r>
        <w:rPr>
          <w:rFonts w:ascii="Carlito" w:hAnsi="Carlito"/>
        </w:rPr>
        <w:t>Full sanctions/KYC/AML platform.</w:t>
      </w:r>
    </w:p>
    <w:p>
      <w:pPr>
        <w:pStyle w:val="ListBullet"/>
        <w:spacing w:after="80"/>
        <w:ind w:left="317" w:hanging="173"/>
      </w:pPr>
      <w:r>
        <w:rPr>
          <w:rFonts w:ascii="Carlito" w:hAnsi="Carlito"/>
        </w:rPr>
        <w:t>Automated yield/USYC treasury management.</w:t>
      </w:r>
    </w:p>
    <w:p>
      <w:pPr>
        <w:pStyle w:val="ListBullet"/>
        <w:spacing w:after="80"/>
        <w:ind w:left="317" w:hanging="173"/>
      </w:pPr>
      <w:r>
        <w:rPr>
          <w:rFonts w:ascii="Carlito" w:hAnsi="Carlito"/>
        </w:rPr>
        <w:t>FHE/TEE-based private computation during the hackathon MVP.</w:t>
      </w:r>
    </w:p>
    <w:p>
      <w:pPr>
        <w:pStyle w:val="ListBullet"/>
        <w:spacing w:after="80"/>
        <w:ind w:left="317" w:hanging="173"/>
      </w:pPr>
      <w:r>
        <w:rPr>
          <w:rFonts w:ascii="Carlito" w:hAnsi="Carlito"/>
        </w:rPr>
        <w:t>Universal cross-chain settlement unless a real pilot requires it.</w:t>
      </w:r>
    </w:p>
    <w:p>
      <w:pPr>
        <w:pStyle w:val="Heading2"/>
        <w:keepNext/>
        <w:spacing w:before="120" w:after="80"/>
      </w:pPr>
      <w:r>
        <w:rPr>
          <w:rFonts w:ascii="Carlito" w:hAnsi="Carlito"/>
          <w:b/>
          <w:color w:val="17211E"/>
          <w:sz w:val="26"/>
        </w:rPr>
        <w:t>6.3 Product principles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Principle</w:t>
            </w:r>
          </w:p>
        </w:tc>
        <w:tc>
          <w:tcPr>
            <w:tcW w:type="dxa" w:w="74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Rule</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Evidence before action</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No obligation can reach authorization without required evidence classes.</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Model output is advisory</w:t>
            </w:r>
          </w:p>
        </w:tc>
        <w:tc>
          <w:tcPr>
            <w:tcW w:type="dxa" w:w="74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Extraction and reasoning may be model-assisted; final factual checks are deterministic and source-aware.</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Fail loud</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Ambiguity becomes HOLD/ESCALATE, never silent correction.</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One obligation, one settlement</w:t>
            </w:r>
          </w:p>
        </w:tc>
        <w:tc>
          <w:tcPr>
            <w:tcW w:type="dxa" w:w="74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Business-semantic idempotency is independent of worker retry IDs.</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Minimal on-chain disclosure</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Store settlement/commitments and policy data, not raw invoices or vendor documents.</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Reviewer-first observability</w:t>
            </w:r>
          </w:p>
        </w:tc>
        <w:tc>
          <w:tcPr>
            <w:tcW w:type="dxa" w:w="74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Every decision is understandable from one receipt page.</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Use tools because they matter</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Circle/Aomi/x402/CCTP are included only when they solve a real flow, not to inflate integration count.</w:t>
            </w:r>
          </w:p>
        </w:tc>
      </w:tr>
    </w:tbl>
    <w:p>
      <w:pPr>
        <w:spacing w:after="20"/>
      </w:pPr>
    </w:p>
    <w:p>
      <w:pPr>
        <w:pStyle w:val="Heading1"/>
        <w:keepNext/>
        <w:spacing w:before="200" w:after="80"/>
      </w:pPr>
      <w:r>
        <w:rPr>
          <w:rFonts w:ascii="Carlito" w:hAnsi="Carlito"/>
          <w:b/>
          <w:color w:val="173F35"/>
          <w:sz w:val="36"/>
        </w:rPr>
        <w:t>7. Product Scope and Release Priorities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Priority</w:t>
            </w:r>
          </w:p>
        </w:tc>
        <w:tc>
          <w:tcPr>
            <w:tcW w:type="dxa" w:w="25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Capability</w:t>
            </w:r>
          </w:p>
        </w:tc>
        <w:tc>
          <w:tcPr>
            <w:tcW w:type="dxa" w:w="626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MVP commitment</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Business/vendor setup</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Create business, register verified vendor identity and payout destination, set reserve and approval policies.</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Evidence ingestion</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Upload/ingest invoice, PO/contract, delivery/acceptance evidence; normalize fields and retain provenance.</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Witness verification</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Match vendor, currency, amount, references and delivery; detect duplicate; check payout continuity.</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Agent planning</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Prioritize multiple VERIFIED obligations under cash/reserve constraints; output structured rationale.</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On-chain authorization</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Witness-signed payment authorization; ObligationVault validates versions, amount, payee, single-use ID, policy.</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 USDC settlement</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Execute at least one real or test payment and link explorer transaction.</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Decision receipt</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Show evidence summary, witness verdict, agent rationale, policy result and settlement transaction.</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P0</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Metrics</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Invoices/obligations processed, payment volume, duplicate catches, auto vs escalated decisions, human agreement.</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P1</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Aomi simulation adapter</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Preflight approved transaction through Aomi Pipeline API or equivalent forked-chain simulation.</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P1</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Email ingestion</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Forward or fetch invoice emails for pilot convenience.</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P1</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Human approval signature</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EIP-712 approval above threshold.</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P1</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Mainnet pilot</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Low-value real USDC flow if operationally safe.</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P2</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CCTP / cross-chain vendor payout</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Only if a real design partner requests non-Arc settlement.</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P2</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EURC invoice flow</w:t>
            </w:r>
          </w:p>
        </w:tc>
        <w:tc>
          <w:tcPr>
            <w:tcW w:type="dxa" w:w="626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Only if a real EUR-denominated pilot exists.</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P2</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Advanced usage reconciliation</w:t>
            </w:r>
          </w:p>
        </w:tc>
        <w:tc>
          <w:tcPr>
            <w:tcW w:type="dxa" w:w="626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Independent SaaS seat/API consumption metering.</w:t>
            </w:r>
          </w:p>
        </w:tc>
      </w:tr>
    </w:tbl>
    <w:p>
      <w:pPr>
        <w:spacing w:after="20"/>
      </w:pPr>
    </w:p>
    <w:p>
      <w:pPr>
        <w:pStyle w:val="Heading1"/>
        <w:keepNext/>
        <w:spacing w:before="200" w:after="80"/>
      </w:pPr>
      <w:r>
        <w:rPr>
          <w:rFonts w:ascii="Carlito" w:hAnsi="Carlito"/>
          <w:b/>
          <w:color w:val="173F35"/>
          <w:sz w:val="36"/>
        </w:rPr>
        <w:t>8. End-to-End Architecture</w:t>
      </w:r>
    </w:p>
    <w:p>
      <w:pPr>
        <w:jc w:val="center"/>
      </w:pPr>
      <w:r>
        <w:drawing>
          <wp:inline xmlns:a="http://schemas.openxmlformats.org/drawingml/2006/main" xmlns:pic="http://schemas.openxmlformats.org/drawingml/2006/picture">
            <wp:extent cx="5897880" cy="3243834"/>
            <wp:docPr id="1" name="Picture 1"/>
            <wp:cNvGraphicFramePr>
              <a:graphicFrameLocks noChangeAspect="1"/>
            </wp:cNvGraphicFramePr>
            <a:graphic>
              <a:graphicData uri="http://schemas.openxmlformats.org/drawingml/2006/picture">
                <pic:pic>
                  <pic:nvPicPr>
                    <pic:cNvPr id="0" name="euthyna_architecture.png"/>
                    <pic:cNvPicPr/>
                  </pic:nvPicPr>
                  <pic:blipFill>
                    <a:blip r:embed="rId11"/>
                    <a:stretch>
                      <a:fillRect/>
                    </a:stretch>
                  </pic:blipFill>
                  <pic:spPr>
                    <a:xfrm>
                      <a:off x="0" y="0"/>
                      <a:ext cx="5897880" cy="3243834"/>
                    </a:xfrm>
                    <a:prstGeom prst="rect"/>
                  </pic:spPr>
                </pic:pic>
              </a:graphicData>
            </a:graphic>
          </wp:inline>
        </w:drawing>
      </w:r>
    </w:p>
    <w:p>
      <w:pPr>
        <w:spacing w:after="160"/>
      </w:pPr>
      <w:r>
        <w:rPr>
          <w:rFonts w:ascii="Carlito" w:hAnsi="Carlito"/>
          <w:i/>
          <w:color w:val="5E6A66"/>
        </w:rPr>
        <w:t>Figure 1. Reference architecture. The central separation is deliberate: decision intelligence, evidence truth, authorization, and transaction execution are independently testable components.</w:t>
      </w:r>
    </w:p>
    <w:p>
      <w:pPr>
        <w:pStyle w:val="Heading2"/>
        <w:keepNext/>
        <w:spacing w:before="120" w:after="80"/>
      </w:pPr>
      <w:r>
        <w:rPr>
          <w:rFonts w:ascii="Carlito" w:hAnsi="Carlito"/>
          <w:b/>
          <w:color w:val="17211E"/>
          <w:sz w:val="26"/>
        </w:rPr>
        <w:t>8.1 Components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Component</w:t>
            </w:r>
          </w:p>
        </w:tc>
        <w:tc>
          <w:tcPr>
            <w:tcW w:type="dxa" w:w="540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Responsibility</w:t>
            </w:r>
          </w:p>
        </w:tc>
        <w:tc>
          <w:tcPr>
            <w:tcW w:type="dxa" w:w="237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Trust level</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Web / reviewer UI</w:t>
            </w:r>
          </w:p>
        </w:tc>
        <w:tc>
          <w:tcPr>
            <w:tcW w:type="dxa" w:w="54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Onboarding, obligation queue, payment plan, holds, receipts, metrics.</w:t>
            </w:r>
          </w:p>
        </w:tc>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Untrusted for final authorization.</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API / orchestration</w:t>
            </w:r>
          </w:p>
        </w:tc>
        <w:tc>
          <w:tcPr>
            <w:tcW w:type="dxa" w:w="54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Coordinates ingestion, jobs, state transitions and external integrations.</w:t>
            </w:r>
          </w:p>
        </w:tc>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Cannot bypass contract or manufacture VERIFIED status without witness key.</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Evidence adapters</w:t>
            </w:r>
          </w:p>
        </w:tc>
        <w:tc>
          <w:tcPr>
            <w:tcW w:type="dxa" w:w="54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Parse PDFs/email/structured records; preserve source and hashes.</w:t>
            </w:r>
          </w:p>
        </w:tc>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Extraction is untrusted until deterministic checks pass.</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 service</w:t>
            </w:r>
          </w:p>
        </w:tc>
        <w:tc>
          <w:tcPr>
            <w:tcW w:type="dxa" w:w="54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Runs deterministic proof-of-obligation rules and signs short-lived attestation.</w:t>
            </w:r>
          </w:p>
        </w:tc>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High-trust service; rotatable signer; must not hold settlement funds.</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Decision agent</w:t>
            </w:r>
          </w:p>
        </w:tc>
        <w:tc>
          <w:tcPr>
            <w:tcW w:type="dxa" w:w="54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Reads VERIFIED obligations and business state; proposes timing/prioritization.</w:t>
            </w:r>
          </w:p>
        </w:tc>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Untrusted with respect to factual evidence and final authority.</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ObligationVault</w:t>
            </w:r>
          </w:p>
        </w:tc>
        <w:tc>
          <w:tcPr>
            <w:tcW w:type="dxa" w:w="54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Holds/controls USDC and validates attestation, vendor/policy versions and one-time obligation IDs.</w:t>
            </w:r>
          </w:p>
        </w:tc>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Final authority for settlement.</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Circle wallet / signer</w:t>
            </w:r>
          </w:p>
        </w:tc>
        <w:tc>
          <w:tcPr>
            <w:tcW w:type="dxa" w:w="54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Calls contract and, where needed, handles programmatic wallet interactions.</w:t>
            </w:r>
          </w:p>
        </w:tc>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Key material never enters model context.</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Arc</w:t>
            </w:r>
          </w:p>
        </w:tc>
        <w:tc>
          <w:tcPr>
            <w:tcW w:type="dxa" w:w="54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Settlement and canonical transaction/event record.</w:t>
            </w:r>
          </w:p>
        </w:tc>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External source of finality.</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Aomi adapter (optional)</w:t>
            </w:r>
          </w:p>
        </w:tc>
        <w:tc>
          <w:tcPr>
            <w:tcW w:type="dxa" w:w="54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Simulates prepared chain actions before signing/broadcast.</w:t>
            </w:r>
          </w:p>
        </w:tc>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Execution-safety layer, not evidence authority.</w:t>
            </w:r>
          </w:p>
        </w:tc>
      </w:tr>
    </w:tbl>
    <w:p>
      <w:pPr>
        <w:spacing w:after="20"/>
      </w:pPr>
    </w:p>
    <w:p>
      <w:pPr>
        <w:pStyle w:val="Heading2"/>
        <w:keepNext/>
        <w:spacing w:before="120" w:after="80"/>
      </w:pPr>
      <w:r>
        <w:rPr>
          <w:rFonts w:ascii="Carlito" w:hAnsi="Carlito"/>
          <w:b/>
          <w:color w:val="17211E"/>
          <w:sz w:val="26"/>
        </w:rPr>
        <w:t>8.2 Trust-boundary rule</w:t>
      </w: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Never collapse these layers</w:t>
            </w:r>
          </w:p>
          <w:p>
            <w:pPr>
              <w:spacing w:after="0"/>
            </w:pPr>
            <w:r>
              <w:rPr>
                <w:rFonts w:ascii="Carlito" w:hAnsi="Carlito"/>
                <w:sz w:val="20"/>
              </w:rPr>
              <w:t>A model can extract an invoice field, but that extraction is not evidence. A witness can verify evidence, but it cannot decide liquidity preference. A decision agent can choose a payment plan, but it cannot make an invalid obligation valid. A simulation can prove the transaction will execute, but not that the business owes the money.</w:t>
            </w:r>
          </w:p>
        </w:tc>
      </w:tr>
    </w:tbl>
    <w:p>
      <w:pPr>
        <w:spacing w:after="20"/>
      </w:pPr>
    </w:p>
    <w:p>
      <w:pPr>
        <w:pStyle w:val="Heading1"/>
        <w:keepNext/>
        <w:spacing w:before="200" w:after="80"/>
      </w:pPr>
      <w:r>
        <w:rPr>
          <w:rFonts w:ascii="Carlito" w:hAnsi="Carlito"/>
          <w:b/>
          <w:color w:val="173F35"/>
          <w:sz w:val="36"/>
        </w:rPr>
        <w:t>9. Core Domain Model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Entity</w:t>
            </w:r>
          </w:p>
        </w:tc>
        <w:tc>
          <w:tcPr>
            <w:tcW w:type="dxa" w:w="604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Definition</w:t>
            </w:r>
          </w:p>
        </w:tc>
        <w:tc>
          <w:tcPr>
            <w:tcW w:type="dxa" w:w="194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Key identifiers</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Business</w:t>
            </w:r>
          </w:p>
        </w:tc>
        <w:tc>
          <w:tcPr>
            <w:tcW w:type="dxa" w:w="60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Tenant / real operating entity using Euthyna.</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business_id</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w:t>
            </w:r>
          </w:p>
        </w:tc>
        <w:tc>
          <w:tcPr>
            <w:tcW w:type="dxa" w:w="60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Counterparty identity and verified payout configuration.</w:t>
            </w:r>
          </w:p>
        </w:tc>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vendor_id, vendor_version</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EvidenceArtifact</w:t>
            </w:r>
          </w:p>
        </w:tc>
        <w:tc>
          <w:tcPr>
            <w:tcW w:type="dxa" w:w="60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Immutable source object or normalized reference to invoice, PO, contract, delivery/usage proof or payment instruction.</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artifact_id, content_hash, source_type</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w:t>
            </w:r>
          </w:p>
        </w:tc>
        <w:tc>
          <w:tcPr>
            <w:tcW w:type="dxa" w:w="60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Business-semantic debt claim derived from evidence.</w:t>
            </w:r>
          </w:p>
        </w:tc>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obligation_id, vendor_id, amount, currency, due_date</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WitnessRun</w:t>
            </w:r>
          </w:p>
        </w:tc>
        <w:tc>
          <w:tcPr>
            <w:tcW w:type="dxa" w:w="60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Deterministic verification result over a specific evidence set and vendor version.</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witness_run_id, evidence_root, verdict</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PaymentPlan</w:t>
            </w:r>
          </w:p>
        </w:tc>
        <w:tc>
          <w:tcPr>
            <w:tcW w:type="dxa" w:w="60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Agent-generated prioritization over VERIFIED obligations.</w:t>
            </w:r>
          </w:p>
        </w:tc>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plan_id, business_state_hash</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PaymentIntent</w:t>
            </w:r>
          </w:p>
        </w:tc>
        <w:tc>
          <w:tcPr>
            <w:tcW w:type="dxa" w:w="60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Concrete proposed payment derived from a plan.</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intent_id, obligation_id, payee, amount</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WitnessAttestation</w:t>
            </w:r>
          </w:p>
        </w:tc>
        <w:tc>
          <w:tcPr>
            <w:tcW w:type="dxa" w:w="60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Signed, expiring authorization that binds obligation, payee, amount, vendor/policy versions and evidence root.</w:t>
            </w:r>
          </w:p>
        </w:tc>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attestation_hash</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Settlement</w:t>
            </w:r>
          </w:p>
        </w:tc>
        <w:tc>
          <w:tcPr>
            <w:tcW w:type="dxa" w:w="60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On-chain execution result.</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tx_hash, block, state</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DecisionReceipt</w:t>
            </w:r>
          </w:p>
        </w:tc>
        <w:tc>
          <w:tcPr>
            <w:tcW w:type="dxa" w:w="60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Human-readable and machine-readable record linking all above.</w:t>
            </w:r>
          </w:p>
        </w:tc>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receipt_id, receipt_hash</w:t>
            </w:r>
          </w:p>
        </w:tc>
      </w:tr>
    </w:tbl>
    <w:p>
      <w:pPr>
        <w:spacing w:after="20"/>
      </w:pPr>
    </w:p>
    <w:p>
      <w:pPr>
        <w:pStyle w:val="Heading2"/>
        <w:keepNext/>
        <w:spacing w:before="120" w:after="80"/>
      </w:pPr>
      <w:r>
        <w:rPr>
          <w:rFonts w:ascii="Carlito" w:hAnsi="Carlito"/>
          <w:b/>
          <w:color w:val="17211E"/>
          <w:sz w:val="26"/>
        </w:rPr>
        <w:t>9.1 Obligation state machine</w:t>
      </w:r>
    </w:p>
    <w:p>
      <w:pPr>
        <w:spacing w:after="40"/>
      </w:pPr>
      <w:r>
        <w:rPr>
          <w:rFonts w:ascii="Carlito" w:hAnsi="Carlito"/>
          <w:b/>
          <w:color w:val="173F35"/>
          <w:sz w:val="19"/>
        </w:rPr>
        <w:t>Obligation lifecycle</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INGESTED</w:t>
            </w:r>
            <w:r>
              <w:br/>
            </w:r>
            <w:r>
              <w:rPr>
                <w:rFonts w:ascii="Liberation Mono" w:hAnsi="Liberation Mono"/>
                <w:color w:val="26302D"/>
                <w:sz w:val="15"/>
              </w:rPr>
              <w:t xml:space="preserve">  -&gt; NORMALIZED</w:t>
            </w:r>
            <w:r>
              <w:br/>
            </w:r>
            <w:r>
              <w:rPr>
                <w:rFonts w:ascii="Liberation Mono" w:hAnsi="Liberation Mono"/>
                <w:color w:val="26302D"/>
                <w:sz w:val="15"/>
              </w:rPr>
              <w:t xml:space="preserve">  -&gt; EVIDENCE_PENDING</w:t>
            </w:r>
            <w:r>
              <w:br/>
            </w:r>
            <w:r>
              <w:rPr>
                <w:rFonts w:ascii="Liberation Mono" w:hAnsi="Liberation Mono"/>
                <w:color w:val="26302D"/>
                <w:sz w:val="15"/>
              </w:rPr>
              <w:t xml:space="preserve">      -&gt; VERIFIED</w:t>
            </w:r>
            <w:r>
              <w:br/>
            </w:r>
            <w:r>
              <w:rPr>
                <w:rFonts w:ascii="Liberation Mono" w:hAnsi="Liberation Mono"/>
                <w:color w:val="26302D"/>
                <w:sz w:val="15"/>
              </w:rPr>
              <w:t xml:space="preserve">          -&gt; PLANNED</w:t>
            </w:r>
            <w:r>
              <w:br/>
            </w:r>
            <w:r>
              <w:rPr>
                <w:rFonts w:ascii="Liberation Mono" w:hAnsi="Liberation Mono"/>
                <w:color w:val="26302D"/>
                <w:sz w:val="15"/>
              </w:rPr>
              <w:t xml:space="preserve">          -&gt; AUTHORIZED</w:t>
            </w:r>
            <w:r>
              <w:br/>
            </w:r>
            <w:r>
              <w:rPr>
                <w:rFonts w:ascii="Liberation Mono" w:hAnsi="Liberation Mono"/>
                <w:color w:val="26302D"/>
                <w:sz w:val="15"/>
              </w:rPr>
              <w:t xml:space="preserve">          -&gt; SUBMITTED</w:t>
            </w:r>
            <w:r>
              <w:br/>
            </w:r>
            <w:r>
              <w:rPr>
                <w:rFonts w:ascii="Liberation Mono" w:hAnsi="Liberation Mono"/>
                <w:color w:val="26302D"/>
                <w:sz w:val="15"/>
              </w:rPr>
              <w:t xml:space="preserve">          -&gt; SETTLED</w:t>
            </w:r>
            <w:r>
              <w:br/>
            </w:r>
            <w:r>
              <w:rPr>
                <w:rFonts w:ascii="Liberation Mono" w:hAnsi="Liberation Mono"/>
                <w:color w:val="26302D"/>
                <w:sz w:val="15"/>
              </w:rPr>
              <w:t xml:space="preserve">      -&gt; HOLD -&gt; VERIFIED | REJECTED</w:t>
            </w:r>
            <w:r>
              <w:br/>
            </w:r>
            <w:r>
              <w:rPr>
                <w:rFonts w:ascii="Liberation Mono" w:hAnsi="Liberation Mono"/>
                <w:color w:val="26302D"/>
                <w:sz w:val="15"/>
              </w:rPr>
              <w:t xml:space="preserve">      -&gt; REJECTED</w:t>
            </w:r>
          </w:p>
        </w:tc>
      </w:tr>
    </w:tbl>
    <w:p>
      <w:pPr>
        <w:spacing w:after="20"/>
      </w:pPr>
    </w:p>
    <w:p>
      <w:pPr>
        <w:pStyle w:val="Heading2"/>
        <w:keepNext/>
        <w:spacing w:before="120" w:after="80"/>
      </w:pPr>
      <w:r>
        <w:rPr>
          <w:rFonts w:ascii="Carlito" w:hAnsi="Carlito"/>
          <w:b/>
          <w:color w:val="17211E"/>
          <w:sz w:val="26"/>
        </w:rPr>
        <w:t>9.2 Payment state machine</w:t>
      </w:r>
    </w:p>
    <w:p>
      <w:pPr>
        <w:spacing w:after="40"/>
      </w:pPr>
      <w:r>
        <w:rPr>
          <w:rFonts w:ascii="Carlito" w:hAnsi="Carlito"/>
          <w:b/>
          <w:color w:val="173F35"/>
          <w:sz w:val="19"/>
        </w:rPr>
        <w:t>Payment lifecycle</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PROPOSED -&gt; POLICY_VALIDATED -&gt; ATTESTED -&gt; SIMULATED? -&gt; SIGNED -&gt; SUBMITTED -&gt; SETTLED</w:t>
            </w:r>
            <w:r>
              <w:br/>
            </w:r>
            <w:r>
              <w:rPr>
                <w:rFonts w:ascii="Liberation Mono" w:hAnsi="Liberation Mono"/>
                <w:color w:val="26302D"/>
                <w:sz w:val="15"/>
              </w:rPr>
              <w:t xml:space="preserve">                           \-&gt; ESCALATED -&gt; APPROVED -&gt; ATTESTED</w:t>
            </w:r>
            <w:r>
              <w:br/>
            </w:r>
            <w:r>
              <w:rPr>
                <w:rFonts w:ascii="Liberation Mono" w:hAnsi="Liberation Mono"/>
                <w:color w:val="26302D"/>
                <w:sz w:val="15"/>
              </w:rPr>
              <w:t>Any pre-settlement state may become CANCELLED / EXPIRED.</w:t>
            </w:r>
            <w:r>
              <w:br/>
            </w:r>
            <w:r>
              <w:rPr>
                <w:rFonts w:ascii="Liberation Mono" w:hAnsi="Liberation Mono"/>
                <w:color w:val="26302D"/>
                <w:sz w:val="15"/>
              </w:rPr>
              <w:t>A settled obligation can never return to an executable state.</w:t>
            </w:r>
          </w:p>
        </w:tc>
      </w:tr>
    </w:tbl>
    <w:p>
      <w:pPr>
        <w:spacing w:after="20"/>
      </w:pPr>
    </w:p>
    <w:p>
      <w:pPr>
        <w:pStyle w:val="Heading1"/>
        <w:keepNext/>
        <w:spacing w:before="200" w:after="80"/>
      </w:pPr>
      <w:r>
        <w:rPr>
          <w:rFonts w:ascii="Carlito" w:hAnsi="Carlito"/>
          <w:b/>
          <w:color w:val="173F35"/>
          <w:sz w:val="36"/>
        </w:rPr>
        <w:t>10. Evidence and Witness Engine</w:t>
      </w:r>
    </w:p>
    <w:p>
      <w:pPr>
        <w:pStyle w:val="Heading2"/>
        <w:keepNext/>
        <w:spacing w:before="120" w:after="80"/>
      </w:pPr>
      <w:r>
        <w:rPr>
          <w:rFonts w:ascii="Carlito" w:hAnsi="Carlito"/>
          <w:b/>
          <w:color w:val="17211E"/>
          <w:sz w:val="26"/>
        </w:rPr>
        <w:t>10.1 Evidence classes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Class</w:t>
            </w:r>
          </w:p>
        </w:tc>
        <w:tc>
          <w:tcPr>
            <w:tcW w:type="dxa" w:w="38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Examples</w:t>
            </w:r>
          </w:p>
        </w:tc>
        <w:tc>
          <w:tcPr>
            <w:tcW w:type="dxa" w:w="410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Default authority</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Commercial claim</w:t>
            </w:r>
          </w:p>
        </w:tc>
        <w:tc>
          <w:tcPr>
            <w:tcW w:type="dxa" w:w="38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 credit note.</w:t>
            </w:r>
          </w:p>
        </w:tc>
        <w:tc>
          <w:tcPr>
            <w:tcW w:type="dxa" w:w="410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Claim only; never sufficient alone for automatic payment.</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Agreement</w:t>
            </w:r>
          </w:p>
        </w:tc>
        <w:tc>
          <w:tcPr>
            <w:tcW w:type="dxa" w:w="38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 SOW, service contract, subscription order.</w:t>
            </w:r>
          </w:p>
        </w:tc>
        <w:tc>
          <w:tcPr>
            <w:tcW w:type="dxa" w:w="410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Defines expected vendor, scope, amount/price and terms.</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Performance / delivery</w:t>
            </w:r>
          </w:p>
        </w:tc>
        <w:tc>
          <w:tcPr>
            <w:tcW w:type="dxa" w:w="38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Goods receipt, signed acceptance, task milestone, usage event, delivery webhook.</w:t>
            </w:r>
          </w:p>
        </w:tc>
        <w:tc>
          <w:tcPr>
            <w:tcW w:type="dxa" w:w="410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Proves the counter-performance happened.</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Vendor identity</w:t>
            </w:r>
          </w:p>
        </w:tc>
        <w:tc>
          <w:tcPr>
            <w:tcW w:type="dxa" w:w="38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Vendor master record, verified owner approval, prior verified payout destination.</w:t>
            </w:r>
          </w:p>
        </w:tc>
        <w:tc>
          <w:tcPr>
            <w:tcW w:type="dxa" w:w="410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Defines who is entitled to payment.</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Payment instruction</w:t>
            </w:r>
          </w:p>
        </w:tc>
        <w:tc>
          <w:tcPr>
            <w:tcW w:type="dxa" w:w="38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Wallet/address or settlement rail contained in invoice/email.</w:t>
            </w:r>
          </w:p>
        </w:tc>
        <w:tc>
          <w:tcPr>
            <w:tcW w:type="dxa" w:w="410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Untrusted if it conflicts with vendor master; destination changes require re-verification.</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Human attestation</w:t>
            </w:r>
          </w:p>
        </w:tc>
        <w:tc>
          <w:tcPr>
            <w:tcW w:type="dxa" w:w="38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Owner/finance approval for exceptional cases.</w:t>
            </w:r>
          </w:p>
        </w:tc>
        <w:tc>
          <w:tcPr>
            <w:tcW w:type="dxa" w:w="410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Can resolve HOLD when policy allows; must be recorded and versioned.</w:t>
            </w:r>
          </w:p>
        </w:tc>
      </w:tr>
    </w:tbl>
    <w:p>
      <w:pPr>
        <w:spacing w:after="20"/>
      </w:pPr>
    </w:p>
    <w:p>
      <w:pPr>
        <w:pStyle w:val="Heading2"/>
        <w:keepNext/>
        <w:spacing w:before="120" w:after="80"/>
      </w:pPr>
      <w:r>
        <w:rPr>
          <w:rFonts w:ascii="Carlito" w:hAnsi="Carlito"/>
          <w:b/>
          <w:color w:val="17211E"/>
          <w:sz w:val="26"/>
        </w:rPr>
        <w:t>10.2 Evidence normalization</w:t>
      </w:r>
    </w:p>
    <w:p>
      <w:pPr>
        <w:pStyle w:val="ListBullet"/>
        <w:spacing w:after="80"/>
        <w:ind w:left="317" w:hanging="173"/>
      </w:pPr>
      <w:r>
        <w:rPr>
          <w:rFonts w:ascii="Carlito" w:hAnsi="Carlito"/>
        </w:rPr>
        <w:t>Every artifact retains original bytes or source reference, SHA-256/keccak hash, source channel, ingestion timestamp, parser version and extracted fields.</w:t>
      </w:r>
    </w:p>
    <w:p>
      <w:pPr>
        <w:pStyle w:val="ListBullet"/>
        <w:spacing w:after="80"/>
        <w:ind w:left="317" w:hanging="173"/>
      </w:pPr>
      <w:r>
        <w:rPr>
          <w:rFonts w:ascii="Carlito" w:hAnsi="Carlito"/>
        </w:rPr>
        <w:t>LLM extraction returns structured fields plus per-field provenance. Unsupported fields remain null; they are not guessed.</w:t>
      </w:r>
    </w:p>
    <w:p>
      <w:pPr>
        <w:pStyle w:val="ListBullet"/>
        <w:spacing w:after="80"/>
        <w:ind w:left="317" w:hanging="173"/>
      </w:pPr>
      <w:r>
        <w:rPr>
          <w:rFonts w:ascii="Carlito" w:hAnsi="Carlito"/>
        </w:rPr>
        <w:t>Normalization maps currency, amount, invoice ID, PO/contract reference, vendor identity, dates, line items and payout destination to canonical formats.</w:t>
      </w:r>
    </w:p>
    <w:p>
      <w:pPr>
        <w:pStyle w:val="ListBullet"/>
        <w:spacing w:after="80"/>
        <w:ind w:left="317" w:hanging="173"/>
      </w:pPr>
      <w:r>
        <w:rPr>
          <w:rFonts w:ascii="Carlito" w:hAnsi="Carlito"/>
        </w:rPr>
        <w:t>Raw artifacts stay off-chain. The witness produces an evidence_root over canonical artifact hashes and verification results.</w:t>
      </w:r>
    </w:p>
    <w:p>
      <w:pPr>
        <w:pStyle w:val="Heading2"/>
        <w:keepNext/>
        <w:spacing w:before="120" w:after="80"/>
      </w:pPr>
      <w:r>
        <w:rPr>
          <w:rFonts w:ascii="Carlito" w:hAnsi="Carlito"/>
          <w:b/>
          <w:color w:val="17211E"/>
          <w:sz w:val="26"/>
        </w:rPr>
        <w:t>10.3 Deterministic witness checks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Check ID</w:t>
            </w:r>
          </w:p>
        </w:tc>
        <w:tc>
          <w:tcPr>
            <w:tcW w:type="dxa" w:w="655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Check</w:t>
            </w:r>
          </w:p>
        </w:tc>
        <w:tc>
          <w:tcPr>
            <w:tcW w:type="dxa" w:w="25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Result on failure</w:t>
            </w:r>
          </w:p>
        </w:tc>
      </w:tr>
      <w:tr>
        <w:tc>
          <w:tcPr>
            <w:tcW w:type="dxa" w:w="7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W01</w:t>
            </w:r>
          </w:p>
        </w:tc>
        <w:tc>
          <w:tcPr>
            <w:tcW w:type="dxa" w:w="65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Required evidence classes present for this obligation type.</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MISSING_EVIDENCE</w:t>
            </w:r>
          </w:p>
        </w:tc>
      </w:tr>
      <w:tr>
        <w:tc>
          <w:tcPr>
            <w:tcW w:type="dxa" w:w="7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W02</w:t>
            </w:r>
          </w:p>
        </w:tc>
        <w:tc>
          <w:tcPr>
            <w:tcW w:type="dxa" w:w="65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 identity matches agreement and invoice.</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REJECT/HOLD: VENDOR_MISMATCH</w:t>
            </w:r>
          </w:p>
        </w:tc>
      </w:tr>
      <w:tr>
        <w:tc>
          <w:tcPr>
            <w:tcW w:type="dxa" w:w="7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W03</w:t>
            </w:r>
          </w:p>
        </w:tc>
        <w:tc>
          <w:tcPr>
            <w:tcW w:type="dxa" w:w="65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Currency and total match agreement or configured tolerance.</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AMOUNT_MISMATCH</w:t>
            </w:r>
          </w:p>
        </w:tc>
      </w:tr>
      <w:tr>
        <w:tc>
          <w:tcPr>
            <w:tcW w:type="dxa" w:w="7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W04</w:t>
            </w:r>
          </w:p>
        </w:tc>
        <w:tc>
          <w:tcPr>
            <w:tcW w:type="dxa" w:w="65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PO/contract reference is valid and not expired/cancelled.</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AGREEMENT_INVALID</w:t>
            </w:r>
          </w:p>
        </w:tc>
      </w:tr>
      <w:tr>
        <w:tc>
          <w:tcPr>
            <w:tcW w:type="dxa" w:w="7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W05</w:t>
            </w:r>
          </w:p>
        </w:tc>
        <w:tc>
          <w:tcPr>
            <w:tcW w:type="dxa" w:w="65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Delivery / service acceptance satisfies release condition.</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DELIVERY_UNVERIFIED</w:t>
            </w:r>
          </w:p>
        </w:tc>
      </w:tr>
      <w:tr>
        <w:tc>
          <w:tcPr>
            <w:tcW w:type="dxa" w:w="7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W06</w:t>
            </w:r>
          </w:p>
        </w:tc>
        <w:tc>
          <w:tcPr>
            <w:tcW w:type="dxa" w:w="65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Canonical invoice fingerprint is not already represented by a settled/open obligation.</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REJECT: DUPLICATE_OBLIGATION</w:t>
            </w:r>
          </w:p>
        </w:tc>
      </w:tr>
      <w:tr>
        <w:tc>
          <w:tcPr>
            <w:tcW w:type="dxa" w:w="7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W07</w:t>
            </w:r>
          </w:p>
        </w:tc>
        <w:tc>
          <w:tcPr>
            <w:tcW w:type="dxa" w:w="65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Requested payout destination equals current verified vendor destination.</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DESTINATION_CHANGED</w:t>
            </w:r>
          </w:p>
        </w:tc>
      </w:tr>
      <w:tr>
        <w:tc>
          <w:tcPr>
            <w:tcW w:type="dxa" w:w="7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W08</w:t>
            </w:r>
          </w:p>
        </w:tc>
        <w:tc>
          <w:tcPr>
            <w:tcW w:type="dxa" w:w="65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 has not already settled on-chain.</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REJECT: ALREADY_SETTLED</w:t>
            </w:r>
          </w:p>
        </w:tc>
      </w:tr>
      <w:tr>
        <w:tc>
          <w:tcPr>
            <w:tcW w:type="dxa" w:w="7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W09</w:t>
            </w:r>
          </w:p>
        </w:tc>
        <w:tc>
          <w:tcPr>
            <w:tcW w:type="dxa" w:w="65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Evidence timestamps and versions are fresh enough for policy.</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STALE_EVIDENCE</w:t>
            </w:r>
          </w:p>
        </w:tc>
      </w:tr>
      <w:tr>
        <w:tc>
          <w:tcPr>
            <w:tcW w:type="dxa" w:w="7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W10</w:t>
            </w:r>
          </w:p>
        </w:tc>
        <w:tc>
          <w:tcPr>
            <w:tcW w:type="dxa" w:w="65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 extraction field required for payment is unresolved/ambiguous.</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 AMBIGUOUS_FIELD</w:t>
            </w:r>
          </w:p>
        </w:tc>
      </w:tr>
    </w:tbl>
    <w:p>
      <w:pPr>
        <w:spacing w:after="20"/>
      </w:pPr>
    </w:p>
    <w:p>
      <w:pPr>
        <w:pStyle w:val="Heading2"/>
        <w:keepNext/>
        <w:spacing w:before="120" w:after="80"/>
      </w:pPr>
      <w:r>
        <w:rPr>
          <w:rFonts w:ascii="Carlito" w:hAnsi="Carlito"/>
          <w:b/>
          <w:color w:val="17211E"/>
          <w:sz w:val="26"/>
        </w:rPr>
        <w:t>10.4 Duplicate detection</w:t>
      </w:r>
    </w:p>
    <w:p>
      <w:pPr>
        <w:spacing w:after="100"/>
      </w:pPr>
      <w:r>
        <w:rPr>
          <w:rFonts w:ascii="Carlito" w:hAnsi="Carlito"/>
          <w:i w:val="0"/>
        </w:rPr>
        <w:t>Duplicate prevention must be business-semantic, not merely request-id based. A worker retry and a second independently uploaded copy of the same invoice are different technical events but the same business obligation.</w:t>
      </w:r>
    </w:p>
    <w:p>
      <w:pPr>
        <w:pStyle w:val="ListBullet"/>
        <w:spacing w:after="80"/>
        <w:ind w:left="317" w:hanging="173"/>
      </w:pPr>
      <w:r>
        <w:rPr>
          <w:rFonts w:ascii="Carlito" w:hAnsi="Carlito"/>
        </w:rPr>
        <w:t>Exact content hash duplicate.</w:t>
      </w:r>
    </w:p>
    <w:p>
      <w:pPr>
        <w:pStyle w:val="ListBullet"/>
        <w:spacing w:after="80"/>
        <w:ind w:left="317" w:hanging="173"/>
      </w:pPr>
      <w:r>
        <w:rPr>
          <w:rFonts w:ascii="Carlito" w:hAnsi="Carlito"/>
        </w:rPr>
        <w:t>Canonical key: business + vendor + normalized invoice number + invoice date + amount + currency.</w:t>
      </w:r>
    </w:p>
    <w:p>
      <w:pPr>
        <w:pStyle w:val="ListBullet"/>
        <w:spacing w:after="80"/>
        <w:ind w:left="317" w:hanging="173"/>
      </w:pPr>
      <w:r>
        <w:rPr>
          <w:rFonts w:ascii="Carlito" w:hAnsi="Carlito"/>
        </w:rPr>
        <w:t>Near-duplicate: same vendor/amount/due date with materially similar line items but different invoice number -&gt; HOLD for review.</w:t>
      </w:r>
    </w:p>
    <w:p>
      <w:pPr>
        <w:pStyle w:val="ListBullet"/>
        <w:spacing w:after="80"/>
        <w:ind w:left="317" w:hanging="173"/>
      </w:pPr>
      <w:r>
        <w:rPr>
          <w:rFonts w:ascii="Carlito" w:hAnsi="Carlito"/>
        </w:rPr>
        <w:t>Already-settled check against Euthyna database and ObligationVault settlement events.</w:t>
      </w:r>
    </w:p>
    <w:p>
      <w:pPr>
        <w:pStyle w:val="ListBullet"/>
        <w:spacing w:after="80"/>
        <w:ind w:left="317" w:hanging="173"/>
      </w:pPr>
      <w:r>
        <w:rPr>
          <w:rFonts w:ascii="Carlito" w:hAnsi="Carlito"/>
        </w:rPr>
        <w:t>Credit notes and legitimate partial payments are modeled explicitly so they are not treated as accidental duplicates.</w:t>
      </w:r>
    </w:p>
    <w:p>
      <w:pPr>
        <w:pStyle w:val="Heading2"/>
        <w:keepNext/>
        <w:spacing w:before="120" w:after="80"/>
      </w:pPr>
      <w:r>
        <w:rPr>
          <w:rFonts w:ascii="Carlito" w:hAnsi="Carlito"/>
          <w:b/>
          <w:color w:val="17211E"/>
          <w:sz w:val="26"/>
        </w:rPr>
        <w:t>10.5 Vendor payout continuity</w:t>
      </w:r>
    </w:p>
    <w:p>
      <w:pPr>
        <w:spacing w:after="100"/>
      </w:pPr>
      <w:r>
        <w:rPr>
          <w:rFonts w:ascii="Carlito" w:hAnsi="Carlito"/>
          <w:i w:val="0"/>
        </w:rPr>
        <w:t>A new payout destination is never accepted merely because it appeared on a new invoice or email. The current verified destination is versioned. A destination change moves the vendor to PENDING_CHANGE and all autonomous payments to that vendor HOLD until the owner re-verifies the new destination out of band. The contract binds payment authorization to vendor_version so a stale attestation cannot pay a newly changed destination.</w:t>
      </w:r>
    </w:p>
    <w:p>
      <w:pPr>
        <w:pStyle w:val="Heading2"/>
        <w:keepNext/>
        <w:spacing w:before="120" w:after="80"/>
      </w:pPr>
      <w:r>
        <w:rPr>
          <w:rFonts w:ascii="Carlito" w:hAnsi="Carlito"/>
          <w:b/>
          <w:color w:val="17211E"/>
          <w:sz w:val="26"/>
        </w:rPr>
        <w:t>10.6 Witness verdicts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Verdict</w:t>
            </w:r>
          </w:p>
        </w:tc>
        <w:tc>
          <w:tcPr>
            <w:tcW w:type="dxa" w:w="648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Meaning</w:t>
            </w:r>
          </w:p>
        </w:tc>
        <w:tc>
          <w:tcPr>
            <w:tcW w:type="dxa" w:w="194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Can agent settle?</w:t>
            </w:r>
          </w:p>
        </w:tc>
      </w:tr>
      <w:tr>
        <w:tc>
          <w:tcPr>
            <w:tcW w:type="dxa" w:w="14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VERIFIED</w:t>
            </w:r>
          </w:p>
        </w:tc>
        <w:tc>
          <w:tcPr>
            <w:tcW w:type="dxa" w:w="64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All required deterministic checks pass against current evidence/vendor version.</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Yes, subject to policy and contract.</w:t>
            </w:r>
          </w:p>
        </w:tc>
      </w:tr>
      <w:tr>
        <w:tc>
          <w:tcPr>
            <w:tcW w:type="dxa" w:w="14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w:t>
            </w:r>
          </w:p>
        </w:tc>
        <w:tc>
          <w:tcPr>
            <w:tcW w:type="dxa" w:w="64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Potentially legitimate but evidence is incomplete, changed, ambiguous or requires human confirmation.</w:t>
            </w:r>
          </w:p>
        </w:tc>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No.</w:t>
            </w:r>
          </w:p>
        </w:tc>
      </w:tr>
      <w:tr>
        <w:tc>
          <w:tcPr>
            <w:tcW w:type="dxa" w:w="14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REJECT</w:t>
            </w:r>
          </w:p>
        </w:tc>
        <w:tc>
          <w:tcPr>
            <w:tcW w:type="dxa" w:w="64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Deterministic contradiction, duplicate, previously settled claim or invalid obligation.</w:t>
            </w:r>
          </w:p>
        </w:tc>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No; new evidence must create a corrected/new obligation rather than silently mutating history.</w:t>
            </w:r>
          </w:p>
        </w:tc>
      </w:tr>
    </w:tbl>
    <w:p>
      <w:pPr>
        <w:spacing w:after="20"/>
      </w:pPr>
    </w:p>
    <w:p>
      <w:pPr>
        <w:pStyle w:val="Heading1"/>
        <w:keepNext/>
        <w:spacing w:before="200" w:after="80"/>
      </w:pPr>
      <w:r>
        <w:rPr>
          <w:rFonts w:ascii="Carlito" w:hAnsi="Carlito"/>
          <w:b/>
          <w:color w:val="173F35"/>
          <w:sz w:val="36"/>
        </w:rPr>
        <w:t>11. Agent Decision Engine</w:t>
      </w:r>
    </w:p>
    <w:p>
      <w:pPr>
        <w:pStyle w:val="Heading2"/>
        <w:keepNext/>
        <w:spacing w:before="120" w:after="80"/>
      </w:pPr>
      <w:r>
        <w:rPr>
          <w:rFonts w:ascii="Carlito" w:hAnsi="Carlito"/>
          <w:b/>
          <w:color w:val="17211E"/>
          <w:sz w:val="26"/>
        </w:rPr>
        <w:t>11.1 Why the agent remains genuinely agentic</w:t>
      </w:r>
    </w:p>
    <w:p>
      <w:pPr>
        <w:spacing w:after="100"/>
      </w:pPr>
      <w:r>
        <w:rPr>
          <w:rFonts w:ascii="Carlito" w:hAnsi="Carlito"/>
          <w:i w:val="0"/>
        </w:rPr>
        <w:t>The witness answers whether an obligation is legitimate; it does not decide economic preference. The Decision Agent operates only on VERIFIED obligations and must make non-trivial choices when cash, due dates, discounts, vendor criticality and forecast uncertainty interact. This directly supports the Tameion “agent chooses when to pay and can explain why” criterion. [S2]</w:t>
      </w:r>
    </w:p>
    <w:p>
      <w:pPr>
        <w:pStyle w:val="Heading2"/>
        <w:keepNext/>
        <w:spacing w:before="120" w:after="80"/>
      </w:pPr>
      <w:r>
        <w:rPr>
          <w:rFonts w:ascii="Carlito" w:hAnsi="Carlito"/>
          <w:b/>
          <w:color w:val="17211E"/>
          <w:sz w:val="26"/>
        </w:rPr>
        <w:t>11.2 Inputs</w:t>
      </w:r>
    </w:p>
    <w:p>
      <w:pPr>
        <w:pStyle w:val="ListBullet"/>
        <w:spacing w:after="80"/>
        <w:ind w:left="317" w:hanging="173"/>
      </w:pPr>
      <w:r>
        <w:rPr>
          <w:rFonts w:ascii="Carlito" w:hAnsi="Carlito"/>
        </w:rPr>
        <w:t>Available USDC and near-term expected inflows.</w:t>
      </w:r>
    </w:p>
    <w:p>
      <w:pPr>
        <w:pStyle w:val="ListBullet"/>
        <w:spacing w:after="80"/>
        <w:ind w:left="317" w:hanging="173"/>
      </w:pPr>
      <w:r>
        <w:rPr>
          <w:rFonts w:ascii="Carlito" w:hAnsi="Carlito"/>
        </w:rPr>
        <w:t>Minimum reserve / runway floor.</w:t>
      </w:r>
    </w:p>
    <w:p>
      <w:pPr>
        <w:pStyle w:val="ListBullet"/>
        <w:spacing w:after="80"/>
        <w:ind w:left="317" w:hanging="173"/>
      </w:pPr>
      <w:r>
        <w:rPr>
          <w:rFonts w:ascii="Carlito" w:hAnsi="Carlito"/>
        </w:rPr>
        <w:t>Verified obligations: amount, due date, late fees, early-pay discounts, partial-payment rules.</w:t>
      </w:r>
    </w:p>
    <w:p>
      <w:pPr>
        <w:pStyle w:val="ListBullet"/>
        <w:spacing w:after="80"/>
        <w:ind w:left="317" w:hanging="173"/>
      </w:pPr>
      <w:r>
        <w:rPr>
          <w:rFonts w:ascii="Carlito" w:hAnsi="Carlito"/>
        </w:rPr>
        <w:t>Vendor criticality and operational dependency.</w:t>
      </w:r>
    </w:p>
    <w:p>
      <w:pPr>
        <w:pStyle w:val="ListBullet"/>
        <w:spacing w:after="80"/>
        <w:ind w:left="317" w:hanging="173"/>
      </w:pPr>
      <w:r>
        <w:rPr>
          <w:rFonts w:ascii="Carlito" w:hAnsi="Carlito"/>
        </w:rPr>
        <w:t>Historical payment reliability / relationship context.</w:t>
      </w:r>
    </w:p>
    <w:p>
      <w:pPr>
        <w:pStyle w:val="ListBullet"/>
        <w:spacing w:after="80"/>
        <w:ind w:left="317" w:hanging="173"/>
      </w:pPr>
      <w:r>
        <w:rPr>
          <w:rFonts w:ascii="Carlito" w:hAnsi="Carlito"/>
        </w:rPr>
        <w:t>Owner policy and required human-approval thresholds.</w:t>
      </w:r>
    </w:p>
    <w:p>
      <w:pPr>
        <w:pStyle w:val="ListBullet"/>
        <w:spacing w:after="80"/>
        <w:ind w:left="317" w:hanging="173"/>
      </w:pPr>
      <w:r>
        <w:rPr>
          <w:rFonts w:ascii="Carlito" w:hAnsi="Carlito"/>
        </w:rPr>
        <w:t>Forecast confidence and uncertainty indicators.</w:t>
      </w:r>
    </w:p>
    <w:p>
      <w:pPr>
        <w:pStyle w:val="Heading2"/>
        <w:keepNext/>
        <w:spacing w:before="120" w:after="80"/>
      </w:pPr>
      <w:r>
        <w:rPr>
          <w:rFonts w:ascii="Carlito" w:hAnsi="Carlito"/>
          <w:b/>
          <w:color w:val="17211E"/>
          <w:sz w:val="26"/>
        </w:rPr>
        <w:t>11.3 Allowed actions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Action</w:t>
            </w:r>
          </w:p>
        </w:tc>
        <w:tc>
          <w:tcPr>
            <w:tcW w:type="dxa" w:w="784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Definition</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PAY_NOW</w:t>
            </w:r>
          </w:p>
        </w:tc>
        <w:tc>
          <w:tcPr>
            <w:tcW w:type="dxa" w:w="78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Settle immediately.</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SCHEDULE</w:t>
            </w:r>
          </w:p>
        </w:tc>
        <w:tc>
          <w:tcPr>
            <w:tcW w:type="dxa" w:w="78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Choose a future execution window/date.</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PARTIAL_PAY</w:t>
            </w:r>
          </w:p>
        </w:tc>
        <w:tc>
          <w:tcPr>
            <w:tcW w:type="dxa" w:w="78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Only where obligation terms explicitly permit it.</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ESCALATE</w:t>
            </w:r>
          </w:p>
        </w:tc>
        <w:tc>
          <w:tcPr>
            <w:tcW w:type="dxa" w:w="78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Ask human to choose between legitimate economic trade-offs or approve high-value payment.</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NO_ACTION</w:t>
            </w:r>
          </w:p>
        </w:tc>
        <w:tc>
          <w:tcPr>
            <w:tcW w:type="dxa" w:w="78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Leave verified obligation untouched because payment is not yet economically justified.</w:t>
            </w:r>
          </w:p>
        </w:tc>
      </w:tr>
    </w:tbl>
    <w:p>
      <w:pPr>
        <w:spacing w:after="20"/>
      </w:pPr>
    </w:p>
    <w:p>
      <w:pPr>
        <w:pStyle w:val="Heading2"/>
        <w:keepNext/>
        <w:spacing w:before="120" w:after="80"/>
      </w:pPr>
      <w:r>
        <w:rPr>
          <w:rFonts w:ascii="Carlito" w:hAnsi="Carlito"/>
          <w:b/>
          <w:color w:val="17211E"/>
          <w:sz w:val="26"/>
        </w:rPr>
        <w:t>11.4 Structured agent output</w:t>
      </w:r>
    </w:p>
    <w:p>
      <w:pPr>
        <w:spacing w:after="40"/>
      </w:pPr>
      <w:r>
        <w:rPr>
          <w:rFonts w:ascii="Carlito" w:hAnsi="Carlito"/>
          <w:b/>
          <w:color w:val="173F35"/>
          <w:sz w:val="19"/>
        </w:rPr>
        <w:t>PaymentPlan example</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w:t>
            </w:r>
            <w:r>
              <w:br/>
            </w:r>
            <w:r>
              <w:rPr>
                <w:rFonts w:ascii="Liberation Mono" w:hAnsi="Liberation Mono"/>
                <w:color w:val="26302D"/>
                <w:sz w:val="15"/>
              </w:rPr>
              <w:t xml:space="preserve">  "plan_id": "plan_...",</w:t>
            </w:r>
            <w:r>
              <w:br/>
            </w:r>
            <w:r>
              <w:rPr>
                <w:rFonts w:ascii="Liberation Mono" w:hAnsi="Liberation Mono"/>
                <w:color w:val="26302D"/>
                <w:sz w:val="15"/>
              </w:rPr>
              <w:t xml:space="preserve">  "business_state_hash": "0x...",</w:t>
            </w:r>
            <w:r>
              <w:br/>
            </w:r>
            <w:r>
              <w:rPr>
                <w:rFonts w:ascii="Liberation Mono" w:hAnsi="Liberation Mono"/>
                <w:color w:val="26302D"/>
                <w:sz w:val="15"/>
              </w:rPr>
              <w:t xml:space="preserve">  "decisions": [</w:t>
            </w:r>
            <w:r>
              <w:br/>
            </w:r>
            <w:r>
              <w:rPr>
                <w:rFonts w:ascii="Liberation Mono" w:hAnsi="Liberation Mono"/>
                <w:color w:val="26302D"/>
                <w:sz w:val="15"/>
              </w:rPr>
              <w:t xml:space="preserve">    {</w:t>
            </w:r>
            <w:r>
              <w:br/>
            </w:r>
            <w:r>
              <w:rPr>
                <w:rFonts w:ascii="Liberation Mono" w:hAnsi="Liberation Mono"/>
                <w:color w:val="26302D"/>
                <w:sz w:val="15"/>
              </w:rPr>
              <w:t xml:space="preserve">      "obligation_id": "obl_...",</w:t>
            </w:r>
            <w:r>
              <w:br/>
            </w:r>
            <w:r>
              <w:rPr>
                <w:rFonts w:ascii="Liberation Mono" w:hAnsi="Liberation Mono"/>
                <w:color w:val="26302D"/>
                <w:sz w:val="15"/>
              </w:rPr>
              <w:t xml:space="preserve">      "action": "PAY_NOW",</w:t>
            </w:r>
            <w:r>
              <w:br/>
            </w:r>
            <w:r>
              <w:rPr>
                <w:rFonts w:ascii="Liberation Mono" w:hAnsi="Liberation Mono"/>
                <w:color w:val="26302D"/>
                <w:sz w:val="15"/>
              </w:rPr>
              <w:t xml:space="preserve">      "amount": "600.00",</w:t>
            </w:r>
            <w:r>
              <w:br/>
            </w:r>
            <w:r>
              <w:rPr>
                <w:rFonts w:ascii="Liberation Mono" w:hAnsi="Liberation Mono"/>
                <w:color w:val="26302D"/>
                <w:sz w:val="15"/>
              </w:rPr>
              <w:t xml:space="preserve">      "currency": "USDC",</w:t>
            </w:r>
            <w:r>
              <w:br/>
            </w:r>
            <w:r>
              <w:rPr>
                <w:rFonts w:ascii="Liberation Mono" w:hAnsi="Liberation Mono"/>
                <w:color w:val="26302D"/>
                <w:sz w:val="15"/>
              </w:rPr>
              <w:t xml:space="preserve">      "reason_codes": ["DUE_TODAY", "CRITICAL_VENDOR"],</w:t>
            </w:r>
            <w:r>
              <w:br/>
            </w:r>
            <w:r>
              <w:rPr>
                <w:rFonts w:ascii="Liberation Mono" w:hAnsi="Liberation Mono"/>
                <w:color w:val="26302D"/>
                <w:sz w:val="15"/>
              </w:rPr>
              <w:t xml:space="preserve">      "rationale": "Pay now to avoid operational interruption; reserve remains above floor.",</w:t>
            </w:r>
            <w:r>
              <w:br/>
            </w:r>
            <w:r>
              <w:rPr>
                <w:rFonts w:ascii="Liberation Mono" w:hAnsi="Liberation Mono"/>
                <w:color w:val="26302D"/>
                <w:sz w:val="15"/>
              </w:rPr>
              <w:t xml:space="preserve">      "confidence": 0.88</w:t>
            </w:r>
            <w:r>
              <w:br/>
            </w:r>
            <w:r>
              <w:rPr>
                <w:rFonts w:ascii="Liberation Mono" w:hAnsi="Liberation Mono"/>
                <w:color w:val="26302D"/>
                <w:sz w:val="15"/>
              </w:rPr>
              <w:t xml:space="preserve">    }</w:t>
            </w:r>
            <w:r>
              <w:br/>
            </w:r>
            <w:r>
              <w:rPr>
                <w:rFonts w:ascii="Liberation Mono" w:hAnsi="Liberation Mono"/>
                <w:color w:val="26302D"/>
                <w:sz w:val="15"/>
              </w:rPr>
              <w:t xml:space="preserve">  ],</w:t>
            </w:r>
            <w:r>
              <w:br/>
            </w:r>
            <w:r>
              <w:rPr>
                <w:rFonts w:ascii="Liberation Mono" w:hAnsi="Liberation Mono"/>
                <w:color w:val="26302D"/>
                <w:sz w:val="15"/>
              </w:rPr>
              <w:t xml:space="preserve">  "assumptions": ["expected_inflow_2026-10-02"],</w:t>
            </w:r>
            <w:r>
              <w:br/>
            </w:r>
            <w:r>
              <w:rPr>
                <w:rFonts w:ascii="Liberation Mono" w:hAnsi="Liberation Mono"/>
                <w:color w:val="26302D"/>
                <w:sz w:val="15"/>
              </w:rPr>
              <w:t xml:space="preserve">  "created_at": "..."</w:t>
            </w:r>
            <w:r>
              <w:br/>
            </w:r>
            <w:r>
              <w:rPr>
                <w:rFonts w:ascii="Liberation Mono" w:hAnsi="Liberation Mono"/>
                <w:color w:val="26302D"/>
                <w:sz w:val="15"/>
              </w:rPr>
              <w:t>}</w:t>
            </w:r>
          </w:p>
        </w:tc>
      </w:tr>
    </w:tbl>
    <w:p>
      <w:pPr>
        <w:spacing w:after="20"/>
      </w:pPr>
    </w:p>
    <w:p>
      <w:pPr>
        <w:pStyle w:val="Heading2"/>
        <w:keepNext/>
        <w:spacing w:before="120" w:after="80"/>
      </w:pPr>
      <w:r>
        <w:rPr>
          <w:rFonts w:ascii="Carlito" w:hAnsi="Carlito"/>
          <w:b/>
          <w:color w:val="17211E"/>
          <w:sz w:val="26"/>
        </w:rPr>
        <w:t>11.5 Deterministic plan validator</w:t>
      </w:r>
    </w:p>
    <w:p>
      <w:pPr>
        <w:spacing w:after="100"/>
      </w:pPr>
      <w:r>
        <w:rPr>
          <w:rFonts w:ascii="Carlito" w:hAnsi="Carlito"/>
          <w:i w:val="0"/>
        </w:rPr>
        <w:t>The agent can choose, but it cannot emit an executable plan that violates mechanical constraints. A deterministic validator checks that every selected obligation is VERIFIED, amounts are not increased, required reserve remains intact, no payment is past its authorization window, and human-approval thresholds are respected.</w:t>
      </w:r>
    </w:p>
    <w:p>
      <w:pPr>
        <w:pStyle w:val="Heading2"/>
        <w:keepNext/>
        <w:spacing w:before="120" w:after="80"/>
      </w:pPr>
      <w:r>
        <w:rPr>
          <w:rFonts w:ascii="Carlito" w:hAnsi="Carlito"/>
          <w:b/>
          <w:color w:val="17211E"/>
          <w:sz w:val="26"/>
        </w:rPr>
        <w:t>11.6 Demonstration scenario</w:t>
      </w:r>
    </w:p>
    <w:p>
      <w:pPr>
        <w:spacing w:after="100"/>
      </w:pPr>
      <w:r>
        <w:rPr>
          <w:rFonts w:ascii="Carlito" w:hAnsi="Carlito"/>
          <w:i w:val="0"/>
        </w:rPr>
        <w:t>The canonical demo should show three VERIFIED obligations competing for constrained cash: a critical vendor due today, an invoice with an economically meaningful early-pay discount, and a lower-criticality obligation. The agent must choose and explain an ordering while preserving the reserve floor. This is the clearest proof that Euthyna is not “rules + LLM label.”</w:t>
      </w:r>
    </w:p>
    <w:p>
      <w:pPr>
        <w:pStyle w:val="Heading1"/>
        <w:keepNext/>
        <w:spacing w:before="200" w:after="80"/>
      </w:pPr>
      <w:r>
        <w:rPr>
          <w:rFonts w:ascii="Carlito" w:hAnsi="Carlito"/>
          <w:b/>
          <w:color w:val="173F35"/>
          <w:sz w:val="36"/>
        </w:rPr>
        <w:t>12. Authorization and Smart Contracts</w:t>
      </w:r>
    </w:p>
    <w:p>
      <w:pPr>
        <w:pStyle w:val="Heading2"/>
        <w:keepNext/>
        <w:spacing w:before="120" w:after="80"/>
      </w:pPr>
      <w:r>
        <w:rPr>
          <w:rFonts w:ascii="Carlito" w:hAnsi="Carlito"/>
          <w:b/>
          <w:color w:val="17211E"/>
          <w:sz w:val="26"/>
        </w:rPr>
        <w:t>12.1 Contract objective</w:t>
      </w:r>
    </w:p>
    <w:p>
      <w:pPr>
        <w:spacing w:after="100"/>
      </w:pPr>
      <w:r>
        <w:rPr>
          <w:rFonts w:ascii="Carlito" w:hAnsi="Carlito"/>
          <w:i w:val="0"/>
        </w:rPr>
        <w:t>The contract does not attempt to reconstruct the entire accounting workflow. Its job is narrower: only release USDC for a one-time obligation when a fresh witness attestation binds the exact obligation, payee, amount, evidence root, vendor version and policy version.</w:t>
      </w:r>
    </w:p>
    <w:p>
      <w:pPr>
        <w:pStyle w:val="Heading2"/>
        <w:keepNext/>
        <w:spacing w:before="120" w:after="80"/>
      </w:pPr>
      <w:r>
        <w:rPr>
          <w:rFonts w:ascii="Carlito" w:hAnsi="Carlito"/>
          <w:b/>
          <w:color w:val="17211E"/>
          <w:sz w:val="26"/>
        </w:rPr>
        <w:t>12.2 ObligationVault responsibilities</w:t>
      </w:r>
    </w:p>
    <w:p>
      <w:pPr>
        <w:pStyle w:val="ListBullet"/>
        <w:spacing w:after="80"/>
        <w:ind w:left="317" w:hanging="173"/>
      </w:pPr>
      <w:r>
        <w:rPr>
          <w:rFonts w:ascii="Carlito" w:hAnsi="Carlito"/>
        </w:rPr>
        <w:t>Hold or control the USDC available for autonomous AP settlement.</w:t>
      </w:r>
    </w:p>
    <w:p>
      <w:pPr>
        <w:pStyle w:val="ListBullet"/>
        <w:spacing w:after="80"/>
        <w:ind w:left="317" w:hanging="173"/>
      </w:pPr>
      <w:r>
        <w:rPr>
          <w:rFonts w:ascii="Carlito" w:hAnsi="Carlito"/>
        </w:rPr>
        <w:t>Maintain owner-controlled policy parameters and current witness signer.</w:t>
      </w:r>
    </w:p>
    <w:p>
      <w:pPr>
        <w:pStyle w:val="ListBullet"/>
        <w:spacing w:after="80"/>
        <w:ind w:left="317" w:hanging="173"/>
      </w:pPr>
      <w:r>
        <w:rPr>
          <w:rFonts w:ascii="Carlito" w:hAnsi="Carlito"/>
        </w:rPr>
        <w:t>Maintain verified vendor payout destination/version or a commitment to it.</w:t>
      </w:r>
    </w:p>
    <w:p>
      <w:pPr>
        <w:pStyle w:val="ListBullet"/>
        <w:spacing w:after="80"/>
        <w:ind w:left="317" w:hanging="173"/>
      </w:pPr>
      <w:r>
        <w:rPr>
          <w:rFonts w:ascii="Carlito" w:hAnsi="Carlito"/>
        </w:rPr>
        <w:t>Validate EIP-712 witness attestation and expiry.</w:t>
      </w:r>
    </w:p>
    <w:p>
      <w:pPr>
        <w:pStyle w:val="ListBullet"/>
        <w:spacing w:after="80"/>
        <w:ind w:left="317" w:hanging="173"/>
      </w:pPr>
      <w:r>
        <w:rPr>
          <w:rFonts w:ascii="Carlito" w:hAnsi="Carlito"/>
        </w:rPr>
        <w:t>Reject wrong payee, wrong amount, stale vendor/policy version, reused obligation ID or paused state.</w:t>
      </w:r>
    </w:p>
    <w:p>
      <w:pPr>
        <w:pStyle w:val="ListBullet"/>
        <w:spacing w:after="80"/>
        <w:ind w:left="317" w:hanging="173"/>
      </w:pPr>
      <w:r>
        <w:rPr>
          <w:rFonts w:ascii="Carlito" w:hAnsi="Carlito"/>
        </w:rPr>
        <w:t>Require owner approval signature above configured threshold if P1 is implemented.</w:t>
      </w:r>
    </w:p>
    <w:p>
      <w:pPr>
        <w:pStyle w:val="ListBullet"/>
        <w:spacing w:after="80"/>
        <w:ind w:left="317" w:hanging="173"/>
      </w:pPr>
      <w:r>
        <w:rPr>
          <w:rFonts w:ascii="Carlito" w:hAnsi="Carlito"/>
        </w:rPr>
        <w:t>Emit settlement event containing obligation ID, evidence root, receipt hash and amount.</w:t>
      </w:r>
    </w:p>
    <w:p>
      <w:pPr>
        <w:pStyle w:val="Heading2"/>
        <w:keepNext/>
        <w:spacing w:before="120" w:after="80"/>
      </w:pPr>
      <w:r>
        <w:rPr>
          <w:rFonts w:ascii="Carlito" w:hAnsi="Carlito"/>
          <w:b/>
          <w:color w:val="17211E"/>
          <w:sz w:val="26"/>
        </w:rPr>
        <w:t>12.3 Minimal on-chain checks</w:t>
      </w:r>
    </w:p>
    <w:p>
      <w:pPr>
        <w:spacing w:after="40"/>
      </w:pPr>
      <w:r>
        <w:rPr>
          <w:rFonts w:ascii="Carlito" w:hAnsi="Carlito"/>
          <w:b/>
          <w:color w:val="173F35"/>
          <w:sz w:val="19"/>
        </w:rPr>
        <w:t>Authorization invariant sketch</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require(active &amp;&amp; !paused)</w:t>
            </w:r>
            <w:r>
              <w:br/>
            </w:r>
            <w:r>
              <w:rPr>
                <w:rFonts w:ascii="Liberation Mono" w:hAnsi="Liberation Mono"/>
                <w:color w:val="26302D"/>
                <w:sz w:val="15"/>
              </w:rPr>
              <w:t>require(!settled[obligationId])</w:t>
            </w:r>
            <w:r>
              <w:br/>
            </w:r>
            <w:r>
              <w:rPr>
                <w:rFonts w:ascii="Liberation Mono" w:hAnsi="Liberation Mono"/>
                <w:color w:val="26302D"/>
                <w:sz w:val="15"/>
              </w:rPr>
              <w:t>require(block.timestamp &lt;= attestation.validUntil)</w:t>
            </w:r>
            <w:r>
              <w:br/>
            </w:r>
            <w:r>
              <w:rPr>
                <w:rFonts w:ascii="Liberation Mono" w:hAnsi="Liberation Mono"/>
                <w:color w:val="26302D"/>
                <w:sz w:val="15"/>
              </w:rPr>
              <w:t>require(attestation.policyVersion == policyVersion)</w:t>
            </w:r>
            <w:r>
              <w:br/>
            </w:r>
            <w:r>
              <w:rPr>
                <w:rFonts w:ascii="Liberation Mono" w:hAnsi="Liberation Mono"/>
                <w:color w:val="26302D"/>
                <w:sz w:val="15"/>
              </w:rPr>
              <w:t>require(attestation.vendorVersion == vendors[vendorId].version)</w:t>
            </w:r>
            <w:r>
              <w:br/>
            </w:r>
            <w:r>
              <w:rPr>
                <w:rFonts w:ascii="Liberation Mono" w:hAnsi="Liberation Mono"/>
                <w:color w:val="26302D"/>
                <w:sz w:val="15"/>
              </w:rPr>
              <w:t>require(attestation.payee == vendors[vendorId].payout)</w:t>
            </w:r>
            <w:r>
              <w:br/>
            </w:r>
            <w:r>
              <w:rPr>
                <w:rFonts w:ascii="Liberation Mono" w:hAnsi="Liberation Mono"/>
                <w:color w:val="26302D"/>
                <w:sz w:val="15"/>
              </w:rPr>
              <w:t>require(attestation.amount == requestedAmount)</w:t>
            </w:r>
            <w:r>
              <w:br/>
            </w:r>
            <w:r>
              <w:rPr>
                <w:rFonts w:ascii="Liberation Mono" w:hAnsi="Liberation Mono"/>
                <w:color w:val="26302D"/>
                <w:sz w:val="15"/>
              </w:rPr>
              <w:t>require(attestation.token == USDC)</w:t>
            </w:r>
            <w:r>
              <w:br/>
            </w:r>
            <w:r>
              <w:rPr>
                <w:rFonts w:ascii="Liberation Mono" w:hAnsi="Liberation Mono"/>
                <w:color w:val="26302D"/>
                <w:sz w:val="15"/>
              </w:rPr>
              <w:t>require(verifyWitnessSignature(attestation, witnessSig))</w:t>
            </w:r>
            <w:r>
              <w:br/>
            </w:r>
            <w:r>
              <w:rPr>
                <w:rFonts w:ascii="Liberation Mono" w:hAnsi="Liberation Mono"/>
                <w:color w:val="26302D"/>
                <w:sz w:val="15"/>
              </w:rPr>
              <w:t>require(requestedAmount &lt;= perPaymentCap)</w:t>
            </w:r>
            <w:r>
              <w:br/>
            </w:r>
            <w:r>
              <w:rPr>
                <w:rFonts w:ascii="Liberation Mono" w:hAnsi="Liberation Mono"/>
                <w:color w:val="26302D"/>
                <w:sz w:val="15"/>
              </w:rPr>
              <w:t>if requestedAmount &gt; approvalThreshold:</w:t>
            </w:r>
            <w:r>
              <w:br/>
            </w:r>
            <w:r>
              <w:rPr>
                <w:rFonts w:ascii="Liberation Mono" w:hAnsi="Liberation Mono"/>
                <w:color w:val="26302D"/>
                <w:sz w:val="15"/>
              </w:rPr>
              <w:t xml:space="preserve">    require(verifyOwnerApproval(...))</w:t>
            </w:r>
            <w:r>
              <w:br/>
            </w:r>
            <w:r>
              <w:rPr>
                <w:rFonts w:ascii="Liberation Mono" w:hAnsi="Liberation Mono"/>
                <w:color w:val="26302D"/>
                <w:sz w:val="15"/>
              </w:rPr>
              <w:t>settled[obligationId] = true</w:t>
            </w:r>
            <w:r>
              <w:br/>
            </w:r>
            <w:r>
              <w:rPr>
                <w:rFonts w:ascii="Liberation Mono" w:hAnsi="Liberation Mono"/>
                <w:color w:val="26302D"/>
                <w:sz w:val="15"/>
              </w:rPr>
              <w:t>USDC.transfer(attestation.payee, requestedAmount)</w:t>
            </w:r>
            <w:r>
              <w:br/>
            </w:r>
            <w:r>
              <w:rPr>
                <w:rFonts w:ascii="Liberation Mono" w:hAnsi="Liberation Mono"/>
                <w:color w:val="26302D"/>
                <w:sz w:val="15"/>
              </w:rPr>
              <w:t>emit ObligationSettled(...)</w:t>
            </w:r>
          </w:p>
        </w:tc>
      </w:tr>
    </w:tbl>
    <w:p>
      <w:pPr>
        <w:spacing w:after="20"/>
      </w:pPr>
    </w:p>
    <w:p>
      <w:pPr>
        <w:pStyle w:val="Heading2"/>
        <w:keepNext/>
        <w:spacing w:before="120" w:after="80"/>
      </w:pPr>
      <w:r>
        <w:rPr>
          <w:rFonts w:ascii="Carlito" w:hAnsi="Carlito"/>
          <w:b/>
          <w:color w:val="17211E"/>
          <w:sz w:val="26"/>
        </w:rPr>
        <w:t>12.4 Witness attestation</w:t>
      </w:r>
    </w:p>
    <w:p>
      <w:pPr>
        <w:spacing w:after="40"/>
      </w:pPr>
      <w:r>
        <w:rPr>
          <w:rFonts w:ascii="Carlito" w:hAnsi="Carlito"/>
          <w:b/>
          <w:color w:val="173F35"/>
          <w:sz w:val="19"/>
        </w:rPr>
        <w:t>EIP-712 typed data payload</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WitnessAttestation {</w:t>
            </w:r>
            <w:r>
              <w:br/>
            </w:r>
            <w:r>
              <w:rPr>
                <w:rFonts w:ascii="Liberation Mono" w:hAnsi="Liberation Mono"/>
                <w:color w:val="26302D"/>
                <w:sz w:val="15"/>
              </w:rPr>
              <w:t xml:space="preserve">  bytes32 obligationId;</w:t>
            </w:r>
            <w:r>
              <w:br/>
            </w:r>
            <w:r>
              <w:rPr>
                <w:rFonts w:ascii="Liberation Mono" w:hAnsi="Liberation Mono"/>
                <w:color w:val="26302D"/>
                <w:sz w:val="15"/>
              </w:rPr>
              <w:t xml:space="preserve">  bytes32 businessIdHash;</w:t>
            </w:r>
            <w:r>
              <w:br/>
            </w:r>
            <w:r>
              <w:rPr>
                <w:rFonts w:ascii="Liberation Mono" w:hAnsi="Liberation Mono"/>
                <w:color w:val="26302D"/>
                <w:sz w:val="15"/>
              </w:rPr>
              <w:t xml:space="preserve">  bytes32 vendorIdHash;</w:t>
            </w:r>
            <w:r>
              <w:br/>
            </w:r>
            <w:r>
              <w:rPr>
                <w:rFonts w:ascii="Liberation Mono" w:hAnsi="Liberation Mono"/>
                <w:color w:val="26302D"/>
                <w:sz w:val="15"/>
              </w:rPr>
              <w:t xml:space="preserve">  address payee;</w:t>
            </w:r>
            <w:r>
              <w:br/>
            </w:r>
            <w:r>
              <w:rPr>
                <w:rFonts w:ascii="Liberation Mono" w:hAnsi="Liberation Mono"/>
                <w:color w:val="26302D"/>
                <w:sz w:val="15"/>
              </w:rPr>
              <w:t xml:space="preserve">  address token;</w:t>
            </w:r>
            <w:r>
              <w:br/>
            </w:r>
            <w:r>
              <w:rPr>
                <w:rFonts w:ascii="Liberation Mono" w:hAnsi="Liberation Mono"/>
                <w:color w:val="26302D"/>
                <w:sz w:val="15"/>
              </w:rPr>
              <w:t xml:space="preserve">  uint256 amount;</w:t>
            </w:r>
            <w:r>
              <w:br/>
            </w:r>
            <w:r>
              <w:rPr>
                <w:rFonts w:ascii="Liberation Mono" w:hAnsi="Liberation Mono"/>
                <w:color w:val="26302D"/>
                <w:sz w:val="15"/>
              </w:rPr>
              <w:t xml:space="preserve">  bytes32 evidenceRoot;</w:t>
            </w:r>
            <w:r>
              <w:br/>
            </w:r>
            <w:r>
              <w:rPr>
                <w:rFonts w:ascii="Liberation Mono" w:hAnsi="Liberation Mono"/>
                <w:color w:val="26302D"/>
                <w:sz w:val="15"/>
              </w:rPr>
              <w:t xml:space="preserve">  bytes32 receiptHash;</w:t>
            </w:r>
            <w:r>
              <w:br/>
            </w:r>
            <w:r>
              <w:rPr>
                <w:rFonts w:ascii="Liberation Mono" w:hAnsi="Liberation Mono"/>
                <w:color w:val="26302D"/>
                <w:sz w:val="15"/>
              </w:rPr>
              <w:t xml:space="preserve">  uint64 vendorVersion;</w:t>
            </w:r>
            <w:r>
              <w:br/>
            </w:r>
            <w:r>
              <w:rPr>
                <w:rFonts w:ascii="Liberation Mono" w:hAnsi="Liberation Mono"/>
                <w:color w:val="26302D"/>
                <w:sz w:val="15"/>
              </w:rPr>
              <w:t xml:space="preserve">  uint64 policyVersion;</w:t>
            </w:r>
            <w:r>
              <w:br/>
            </w:r>
            <w:r>
              <w:rPr>
                <w:rFonts w:ascii="Liberation Mono" w:hAnsi="Liberation Mono"/>
                <w:color w:val="26302D"/>
                <w:sz w:val="15"/>
              </w:rPr>
              <w:t xml:space="preserve">  uint64 validUntil;</w:t>
            </w:r>
            <w:r>
              <w:br/>
            </w:r>
            <w:r>
              <w:rPr>
                <w:rFonts w:ascii="Liberation Mono" w:hAnsi="Liberation Mono"/>
                <w:color w:val="26302D"/>
                <w:sz w:val="15"/>
              </w:rPr>
              <w:t>}</w:t>
            </w:r>
          </w:p>
        </w:tc>
      </w:tr>
    </w:tbl>
    <w:p>
      <w:pPr>
        <w:spacing w:after="20"/>
      </w:pPr>
    </w:p>
    <w:p>
      <w:pPr>
        <w:pStyle w:val="Heading2"/>
        <w:keepNext/>
        <w:spacing w:before="120" w:after="80"/>
      </w:pPr>
      <w:r>
        <w:rPr>
          <w:rFonts w:ascii="Carlito" w:hAnsi="Carlito"/>
          <w:b/>
          <w:color w:val="17211E"/>
          <w:sz w:val="26"/>
        </w:rPr>
        <w:t>12.5 Contract invariants</w:t>
      </w:r>
    </w:p>
    <w:p>
      <w:pPr>
        <w:pStyle w:val="ListBullet"/>
        <w:spacing w:after="80"/>
        <w:ind w:left="317" w:hanging="173"/>
      </w:pPr>
      <w:r>
        <w:rPr>
          <w:rFonts w:ascii="Carlito" w:hAnsi="Carlito"/>
        </w:rPr>
        <w:t>An obligation ID releases at most once, ever.</w:t>
      </w:r>
    </w:p>
    <w:p>
      <w:pPr>
        <w:pStyle w:val="ListBullet"/>
        <w:spacing w:after="80"/>
        <w:ind w:left="317" w:hanging="173"/>
      </w:pPr>
      <w:r>
        <w:rPr>
          <w:rFonts w:ascii="Carlito" w:hAnsi="Carlito"/>
        </w:rPr>
        <w:t>A valid signature for one obligation/payee/amount cannot authorize another.</w:t>
      </w:r>
    </w:p>
    <w:p>
      <w:pPr>
        <w:pStyle w:val="ListBullet"/>
        <w:spacing w:after="80"/>
        <w:ind w:left="317" w:hanging="173"/>
      </w:pPr>
      <w:r>
        <w:rPr>
          <w:rFonts w:ascii="Carlito" w:hAnsi="Carlito"/>
        </w:rPr>
        <w:t>A vendor destination change invalidates old attestations.</w:t>
      </w:r>
    </w:p>
    <w:p>
      <w:pPr>
        <w:pStyle w:val="ListBullet"/>
        <w:spacing w:after="80"/>
        <w:ind w:left="317" w:hanging="173"/>
      </w:pPr>
      <w:r>
        <w:rPr>
          <w:rFonts w:ascii="Carlito" w:hAnsi="Carlito"/>
        </w:rPr>
        <w:t>A policy change invalidates old attestations where policyVersion differs.</w:t>
      </w:r>
    </w:p>
    <w:p>
      <w:pPr>
        <w:pStyle w:val="ListBullet"/>
        <w:spacing w:after="80"/>
        <w:ind w:left="317" w:hanging="173"/>
      </w:pPr>
      <w:r>
        <w:rPr>
          <w:rFonts w:ascii="Carlito" w:hAnsi="Carlito"/>
        </w:rPr>
        <w:t>A paused vault never releases funds.</w:t>
      </w:r>
    </w:p>
    <w:p>
      <w:pPr>
        <w:pStyle w:val="ListBullet"/>
        <w:spacing w:after="80"/>
        <w:ind w:left="317" w:hanging="173"/>
      </w:pPr>
      <w:r>
        <w:rPr>
          <w:rFonts w:ascii="Carlito" w:hAnsi="Carlito"/>
        </w:rPr>
        <w:t>Released amount never exceeds available USDC or hard per-payment cap.</w:t>
      </w:r>
    </w:p>
    <w:p>
      <w:pPr>
        <w:pStyle w:val="ListBullet"/>
        <w:spacing w:after="80"/>
        <w:ind w:left="317" w:hanging="173"/>
      </w:pPr>
      <w:r>
        <w:rPr>
          <w:rFonts w:ascii="Carlito" w:hAnsi="Carlito"/>
        </w:rPr>
        <w:t>Raw document content is never stored on-chain.</w:t>
      </w:r>
    </w:p>
    <w:p>
      <w:pPr>
        <w:pStyle w:val="Heading1"/>
        <w:keepNext/>
        <w:spacing w:before="200" w:after="80"/>
      </w:pPr>
      <w:r>
        <w:rPr>
          <w:rFonts w:ascii="Carlito" w:hAnsi="Carlito"/>
          <w:b/>
          <w:color w:val="173F35"/>
          <w:sz w:val="36"/>
        </w:rPr>
        <w:t>13. Circle and Arc Integration</w:t>
      </w:r>
    </w:p>
    <w:p>
      <w:pPr>
        <w:pStyle w:val="Heading2"/>
        <w:keepNext/>
        <w:spacing w:before="120" w:after="80"/>
      </w:pPr>
      <w:r>
        <w:rPr>
          <w:rFonts w:ascii="Carlito" w:hAnsi="Carlito"/>
          <w:b/>
          <w:color w:val="17211E"/>
          <w:sz w:val="26"/>
        </w:rPr>
        <w:t>13.1 Required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Primitive</w:t>
            </w:r>
          </w:p>
        </w:tc>
        <w:tc>
          <w:tcPr>
            <w:tcW w:type="dxa" w:w="38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Use</w:t>
            </w:r>
          </w:p>
        </w:tc>
        <w:tc>
          <w:tcPr>
            <w:tcW w:type="dxa" w:w="388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Why it is real, not decorative</w:t>
            </w:r>
          </w:p>
        </w:tc>
      </w:tr>
      <w:tr>
        <w:tc>
          <w:tcPr>
            <w:tcW w:type="dxa" w:w="20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w:t>
            </w:r>
          </w:p>
        </w:tc>
        <w:tc>
          <w:tcPr>
            <w:tcW w:type="dxa" w:w="38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Final settlement and contract execution.</w:t>
            </w:r>
          </w:p>
        </w:tc>
        <w:tc>
          <w:tcPr>
            <w:tcW w:type="dxa" w:w="38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Payment chain for the hackathon; fast deterministic settlement suits agent feedback loops.</w:t>
            </w:r>
          </w:p>
        </w:tc>
      </w:tr>
      <w:tr>
        <w:tc>
          <w:tcPr>
            <w:tcW w:type="dxa" w:w="20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USDC</w:t>
            </w:r>
          </w:p>
        </w:tc>
        <w:tc>
          <w:tcPr>
            <w:tcW w:type="dxa" w:w="38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Native settlement asset.</w:t>
            </w:r>
          </w:p>
        </w:tc>
        <w:tc>
          <w:tcPr>
            <w:tcW w:type="dxa" w:w="38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The obligation amount and settlement are denominated in a stable asset.</w:t>
            </w:r>
          </w:p>
        </w:tc>
      </w:tr>
      <w:tr>
        <w:tc>
          <w:tcPr>
            <w:tcW w:type="dxa" w:w="20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Circle Wallets / programmatic signer</w:t>
            </w:r>
          </w:p>
        </w:tc>
        <w:tc>
          <w:tcPr>
            <w:tcW w:type="dxa" w:w="38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Treasury/operator wallet or controlled execution identity.</w:t>
            </w:r>
          </w:p>
        </w:tc>
        <w:tc>
          <w:tcPr>
            <w:tcW w:type="dxa" w:w="38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Separates key management from the LLM and provides production-style programmatic signing.</w:t>
            </w:r>
          </w:p>
        </w:tc>
      </w:tr>
      <w:tr>
        <w:tc>
          <w:tcPr>
            <w:tcW w:type="dxa" w:w="20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Contracts</w:t>
            </w:r>
          </w:p>
        </w:tc>
        <w:tc>
          <w:tcPr>
            <w:tcW w:type="dxa" w:w="38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ObligationVault and authorization enforcement.</w:t>
            </w:r>
          </w:p>
        </w:tc>
        <w:tc>
          <w:tcPr>
            <w:tcW w:type="dxa" w:w="38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Critical hard boundary outside the model.</w:t>
            </w:r>
          </w:p>
        </w:tc>
      </w:tr>
      <w:tr>
        <w:tc>
          <w:tcPr>
            <w:tcW w:type="dxa" w:w="20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 Canteen RPC/CLI</w:t>
            </w:r>
          </w:p>
        </w:tc>
        <w:tc>
          <w:tcPr>
            <w:tcW w:type="dxa" w:w="38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Development, telemetry and hackathon traction/product updates.</w:t>
            </w:r>
          </w:p>
        </w:tc>
        <w:tc>
          <w:tcPr>
            <w:tcW w:type="dxa" w:w="38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Organizer-provided infrastructure and visibility into usage.</w:t>
            </w:r>
          </w:p>
        </w:tc>
      </w:tr>
    </w:tbl>
    <w:p>
      <w:pPr>
        <w:spacing w:after="20"/>
      </w:pPr>
    </w:p>
    <w:p>
      <w:pPr>
        <w:pStyle w:val="Heading2"/>
        <w:keepNext/>
        <w:spacing w:before="120" w:after="80"/>
      </w:pPr>
      <w:r>
        <w:rPr>
          <w:rFonts w:ascii="Carlito" w:hAnsi="Carlito"/>
          <w:b/>
          <w:color w:val="17211E"/>
          <w:sz w:val="26"/>
        </w:rPr>
        <w:t>13.2 Conditional integrations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Primitive</w:t>
            </w:r>
          </w:p>
        </w:tc>
        <w:tc>
          <w:tcPr>
            <w:tcW w:type="dxa" w:w="777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Condition for inclusion</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Paymaster</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Use only if gas sponsorship simplifies a real pilot flow.</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CCTP</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Use only if a real vendor requires USDC on a different supported chain.</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Gateway</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Use if a real business pilot has USDC distributed across chains and unified spend is actually needed.</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EURC / FX</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Use only for a real EUR-denominated invoice or vendor.</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x402</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Use only for machine-paid services/APIs. Do not force x402 onto ordinary invoice settlement.</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USYC</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Out of MVP unless a real business case demands idle-cash management; this is RFB 01 territory and dilutes Euthyna.</w:t>
            </w:r>
          </w:p>
        </w:tc>
      </w:tr>
    </w:tbl>
    <w:p>
      <w:pPr>
        <w:spacing w:after="20"/>
      </w:pPr>
    </w:p>
    <w:p>
      <w:pPr>
        <w:pStyle w:val="Heading2"/>
        <w:keepNext/>
        <w:spacing w:before="120" w:after="80"/>
      </w:pPr>
      <w:r>
        <w:rPr>
          <w:rFonts w:ascii="Carlito" w:hAnsi="Carlito"/>
          <w:b/>
          <w:color w:val="17211E"/>
          <w:sz w:val="26"/>
        </w:rPr>
        <w:t>13.3 Mainnet policy</w:t>
      </w:r>
    </w:p>
    <w:p>
      <w:pPr>
        <w:spacing w:after="100"/>
      </w:pPr>
      <w:r>
        <w:rPr>
          <w:rFonts w:ascii="Carlito" w:hAnsi="Carlito"/>
          <w:i w:val="0"/>
        </w:rPr>
        <w:t>Mainnet activity is preferred for traction if a design partner agrees and transaction value is deliberately small. The demo and tests must remain reproducible on testnet. Production/mainnet deployment requires explicit owner review of contract addresses, token decimals, RPC configuration and wallet permissions.</w:t>
      </w:r>
    </w:p>
    <w:p>
      <w:pPr>
        <w:pStyle w:val="Heading1"/>
        <w:keepNext/>
        <w:spacing w:before="200" w:after="80"/>
      </w:pPr>
      <w:r>
        <w:rPr>
          <w:rFonts w:ascii="Carlito" w:hAnsi="Carlito"/>
          <w:b/>
          <w:color w:val="173F35"/>
          <w:sz w:val="36"/>
        </w:rPr>
        <w:t>14. Optional Aomi Execution Simulation</w:t>
      </w:r>
    </w:p>
    <w:p>
      <w:pPr>
        <w:spacing w:after="100"/>
      </w:pPr>
      <w:r>
        <w:rPr>
          <w:rFonts w:ascii="Carlito" w:hAnsi="Carlito"/>
          <w:i w:val="0"/>
        </w:rPr>
        <w:t>Aomi is an optional execution-safety adapter, not the product’s evidence layer. The Aomi session describes a pipeline that lets an agent construct on-chain actions, simulate them against a forked chain state, inspect wallet impact, then sign/broadcast. It also exposes a Pipeline API for teams that already own their agent harness. [S6]</w:t>
      </w:r>
    </w:p>
    <w:p>
      <w:pPr>
        <w:pStyle w:val="Heading2"/>
        <w:keepNext/>
        <w:spacing w:before="120" w:after="80"/>
      </w:pPr>
      <w:r>
        <w:rPr>
          <w:rFonts w:ascii="Carlito" w:hAnsi="Carlito"/>
          <w:b/>
          <w:color w:val="17211E"/>
          <w:sz w:val="26"/>
        </w:rPr>
        <w:t>14.1 Recommended integration boundary</w:t>
      </w:r>
    </w:p>
    <w:p>
      <w:pPr>
        <w:spacing w:after="40"/>
      </w:pPr>
      <w:r>
        <w:rPr>
          <w:rFonts w:ascii="Carlito" w:hAnsi="Carlito"/>
          <w:b/>
          <w:color w:val="173F35"/>
          <w:sz w:val="19"/>
        </w:rPr>
        <w:t>Adapter boundary</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interface ExecutionSimulator {</w:t>
            </w:r>
            <w:r>
              <w:br/>
            </w:r>
            <w:r>
              <w:rPr>
                <w:rFonts w:ascii="Liberation Mono" w:hAnsi="Liberation Mono"/>
                <w:color w:val="26302D"/>
                <w:sz w:val="15"/>
              </w:rPr>
              <w:t xml:space="preserve">  simulate(txBundle, chainStateRef): Promise&lt;SimulationResult&gt;</w:t>
            </w:r>
            <w:r>
              <w:br/>
            </w:r>
            <w:r>
              <w:rPr>
                <w:rFonts w:ascii="Liberation Mono" w:hAnsi="Liberation Mono"/>
                <w:color w:val="26302D"/>
                <w:sz w:val="15"/>
              </w:rPr>
              <w:t>}</w:t>
            </w:r>
            <w:r>
              <w:br/>
            </w:r>
            <w:r>
              <w:rPr>
                <w:rFonts w:ascii="Liberation Mono" w:hAnsi="Liberation Mono"/>
                <w:color w:val="26302D"/>
                <w:sz w:val="15"/>
              </w:rPr>
            </w:r>
            <w:r>
              <w:br/>
            </w:r>
            <w:r>
              <w:rPr>
                <w:rFonts w:ascii="Liberation Mono" w:hAnsi="Liberation Mono"/>
                <w:color w:val="26302D"/>
                <w:sz w:val="15"/>
              </w:rPr>
              <w:t>// Implementations</w:t>
            </w:r>
            <w:r>
              <w:br/>
            </w:r>
            <w:r>
              <w:rPr>
                <w:rFonts w:ascii="Liberation Mono" w:hAnsi="Liberation Mono"/>
                <w:color w:val="26302D"/>
                <w:sz w:val="15"/>
              </w:rPr>
              <w:t>AomiPipelineSimulator    // preferred P1 if accessible/stable</w:t>
            </w:r>
            <w:r>
              <w:br/>
            </w:r>
            <w:r>
              <w:rPr>
                <w:rFonts w:ascii="Liberation Mono" w:hAnsi="Liberation Mono"/>
                <w:color w:val="26302D"/>
                <w:sz w:val="15"/>
              </w:rPr>
              <w:t>LocalForkSimulator       // Anvil/eth_call fallback</w:t>
            </w:r>
            <w:r>
              <w:br/>
            </w:r>
            <w:r>
              <w:rPr>
                <w:rFonts w:ascii="Liberation Mono" w:hAnsi="Liberation Mono"/>
                <w:color w:val="26302D"/>
                <w:sz w:val="15"/>
              </w:rPr>
              <w:t>NoopSimulator            // test-only; never production default</w:t>
            </w:r>
          </w:p>
        </w:tc>
      </w:tr>
    </w:tbl>
    <w:p>
      <w:pPr>
        <w:spacing w:after="20"/>
      </w:pPr>
    </w:p>
    <w:p>
      <w:pPr>
        <w:pStyle w:val="Heading2"/>
        <w:keepNext/>
        <w:spacing w:before="120" w:after="80"/>
      </w:pPr>
      <w:r>
        <w:rPr>
          <w:rFonts w:ascii="Carlito" w:hAnsi="Carlito"/>
          <w:b/>
          <w:color w:val="17211E"/>
          <w:sz w:val="26"/>
        </w:rPr>
        <w:t>14.2 What simulation can and cannot prove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75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Can prove / detect</w:t>
            </w:r>
          </w:p>
        </w:tc>
        <w:tc>
          <w:tcPr>
            <w:tcW w:type="dxa" w:w="504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Cannot prove</w:t>
            </w:r>
          </w:p>
        </w:tc>
      </w:tr>
      <w:tr>
        <w:tc>
          <w:tcPr>
            <w:tcW w:type="dxa" w:w="47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Expected token balance deltas; approvals; contract reverts; stale state; multi-step execution behavior.</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That the invoice is legitimate, the vendor is correct, delivery happened, or the business should pay now.</w:t>
            </w:r>
          </w:p>
        </w:tc>
      </w:tr>
      <w:tr>
        <w:tc>
          <w:tcPr>
            <w:tcW w:type="dxa" w:w="47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The transaction is likely to produce the expected on-chain state change.</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Business truth or accounting correctness.</w:t>
            </w:r>
          </w:p>
        </w:tc>
      </w:tr>
    </w:tbl>
    <w:p>
      <w:pPr>
        <w:spacing w:after="20"/>
      </w:pP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Dependency rule</w:t>
            </w:r>
          </w:p>
          <w:p>
            <w:pPr>
              <w:spacing w:after="0"/>
            </w:pPr>
            <w:r>
              <w:rPr>
                <w:rFonts w:ascii="Carlito" w:hAnsi="Carlito"/>
                <w:sz w:val="20"/>
              </w:rPr>
              <w:t>The hackathon MVP must still settle if Aomi is unavailable. Aomi is a replaceable execution adapter; Euthyna’s core product value cannot depend on a third-party policy engine that is being actively redesigned.</w:t>
            </w:r>
          </w:p>
        </w:tc>
      </w:tr>
    </w:tbl>
    <w:p>
      <w:pPr>
        <w:spacing w:after="20"/>
      </w:pPr>
    </w:p>
    <w:p>
      <w:pPr>
        <w:pStyle w:val="Heading1"/>
        <w:keepNext/>
        <w:spacing w:before="200" w:after="80"/>
      </w:pPr>
      <w:r>
        <w:rPr>
          <w:rFonts w:ascii="Carlito" w:hAnsi="Carlito"/>
          <w:b/>
          <w:color w:val="173F35"/>
          <w:sz w:val="36"/>
        </w:rPr>
        <w:t>15. Product Flows</w:t>
      </w:r>
    </w:p>
    <w:p>
      <w:pPr>
        <w:pStyle w:val="Heading2"/>
        <w:keepNext/>
        <w:spacing w:before="120" w:after="80"/>
      </w:pPr>
      <w:r>
        <w:rPr>
          <w:rFonts w:ascii="Carlito" w:hAnsi="Carlito"/>
          <w:b/>
          <w:color w:val="17211E"/>
          <w:sz w:val="26"/>
        </w:rPr>
        <w:t>15.1 Flow A - New vendor and first verified obligation</w:t>
      </w:r>
    </w:p>
    <w:p>
      <w:pPr>
        <w:spacing w:after="60"/>
        <w:ind w:left="360" w:hanging="259"/>
      </w:pPr>
      <w:r>
        <w:rPr>
          <w:rFonts w:ascii="Carlito" w:hAnsi="Carlito"/>
          <w:b/>
          <w:color w:val="173F35"/>
        </w:rPr>
        <w:t xml:space="preserve">1. </w:t>
      </w:r>
      <w:r>
        <w:rPr>
          <w:rFonts w:ascii="Carlito" w:hAnsi="Carlito"/>
        </w:rPr>
        <w:t>Owner creates business and vendor record, verifies initial payout destination, and sets payment policies.</w:t>
      </w:r>
    </w:p>
    <w:p>
      <w:pPr>
        <w:spacing w:after="60"/>
        <w:ind w:left="360" w:hanging="259"/>
      </w:pPr>
      <w:r>
        <w:rPr>
          <w:rFonts w:ascii="Carlito" w:hAnsi="Carlito"/>
          <w:b/>
          <w:color w:val="173F35"/>
        </w:rPr>
        <w:t xml:space="preserve">2. </w:t>
      </w:r>
      <w:r>
        <w:rPr>
          <w:rFonts w:ascii="Carlito" w:hAnsi="Carlito"/>
        </w:rPr>
        <w:t>Invoice, agreement (PO/SOW/contract), and delivery/acceptance evidence are ingested.</w:t>
      </w:r>
    </w:p>
    <w:p>
      <w:pPr>
        <w:spacing w:after="60"/>
        <w:ind w:left="360" w:hanging="259"/>
      </w:pPr>
      <w:r>
        <w:rPr>
          <w:rFonts w:ascii="Carlito" w:hAnsi="Carlito"/>
          <w:b/>
          <w:color w:val="173F35"/>
        </w:rPr>
        <w:t xml:space="preserve">3. </w:t>
      </w:r>
      <w:r>
        <w:rPr>
          <w:rFonts w:ascii="Carlito" w:hAnsi="Carlito"/>
        </w:rPr>
        <w:t>Parsers normalize fields but mark all model-extracted values as unverified.</w:t>
      </w:r>
    </w:p>
    <w:p>
      <w:pPr>
        <w:spacing w:after="60"/>
        <w:ind w:left="360" w:hanging="259"/>
      </w:pPr>
      <w:r>
        <w:rPr>
          <w:rFonts w:ascii="Carlito" w:hAnsi="Carlito"/>
          <w:b/>
          <w:color w:val="173F35"/>
        </w:rPr>
        <w:t xml:space="preserve">4. </w:t>
      </w:r>
      <w:r>
        <w:rPr>
          <w:rFonts w:ascii="Carlito" w:hAnsi="Carlito"/>
        </w:rPr>
        <w:t>Witness checks identity, amount/currency, agreement reference, delivery, duplicate status and payout continuity.</w:t>
      </w:r>
    </w:p>
    <w:p>
      <w:pPr>
        <w:spacing w:after="60"/>
        <w:ind w:left="360" w:hanging="259"/>
      </w:pPr>
      <w:r>
        <w:rPr>
          <w:rFonts w:ascii="Carlito" w:hAnsi="Carlito"/>
          <w:b/>
          <w:color w:val="173F35"/>
        </w:rPr>
        <w:t xml:space="preserve">5. </w:t>
      </w:r>
      <w:r>
        <w:rPr>
          <w:rFonts w:ascii="Carlito" w:hAnsi="Carlito"/>
        </w:rPr>
        <w:t>If all checks pass, obligation becomes VERIFIED and an evidence_root is stored.</w:t>
      </w:r>
    </w:p>
    <w:p>
      <w:pPr>
        <w:spacing w:after="60"/>
        <w:ind w:left="360" w:hanging="259"/>
      </w:pPr>
      <w:r>
        <w:rPr>
          <w:rFonts w:ascii="Carlito" w:hAnsi="Carlito"/>
          <w:b/>
          <w:color w:val="173F35"/>
        </w:rPr>
        <w:t xml:space="preserve">6. </w:t>
      </w:r>
      <w:r>
        <w:rPr>
          <w:rFonts w:ascii="Carlito" w:hAnsi="Carlito"/>
        </w:rPr>
        <w:t>Decision Agent includes the obligation in the next payment plan.</w:t>
      </w:r>
    </w:p>
    <w:p>
      <w:pPr>
        <w:spacing w:after="60"/>
        <w:ind w:left="360" w:hanging="259"/>
      </w:pPr>
      <w:r>
        <w:rPr>
          <w:rFonts w:ascii="Carlito" w:hAnsi="Carlito"/>
          <w:b/>
          <w:color w:val="173F35"/>
        </w:rPr>
        <w:t xml:space="preserve">7. </w:t>
      </w:r>
      <w:r>
        <w:rPr>
          <w:rFonts w:ascii="Carlito" w:hAnsi="Carlito"/>
        </w:rPr>
        <w:t>Plan validator confirms reserve/limits; witness signs short-lived attestation for the exact payment.</w:t>
      </w:r>
    </w:p>
    <w:p>
      <w:pPr>
        <w:spacing w:after="60"/>
        <w:ind w:left="360" w:hanging="259"/>
      </w:pPr>
      <w:r>
        <w:rPr>
          <w:rFonts w:ascii="Carlito" w:hAnsi="Carlito"/>
          <w:b/>
          <w:color w:val="173F35"/>
        </w:rPr>
        <w:t xml:space="preserve">8. </w:t>
      </w:r>
      <w:r>
        <w:rPr>
          <w:rFonts w:ascii="Carlito" w:hAnsi="Carlito"/>
        </w:rPr>
        <w:t>Optional simulation runs; Circle-controlled executor calls ObligationVault.</w:t>
      </w:r>
    </w:p>
    <w:p>
      <w:pPr>
        <w:spacing w:after="60"/>
        <w:ind w:left="360" w:hanging="259"/>
      </w:pPr>
      <w:r>
        <w:rPr>
          <w:rFonts w:ascii="Carlito" w:hAnsi="Carlito"/>
          <w:b/>
          <w:color w:val="173F35"/>
        </w:rPr>
        <w:t xml:space="preserve">9. </w:t>
      </w:r>
      <w:r>
        <w:rPr>
          <w:rFonts w:ascii="Carlito" w:hAnsi="Carlito"/>
        </w:rPr>
        <w:t>ObligationVault validates attestation/policy and releases USDC on Arc.</w:t>
      </w:r>
    </w:p>
    <w:p>
      <w:pPr>
        <w:spacing w:after="60"/>
        <w:ind w:left="360" w:hanging="259"/>
      </w:pPr>
      <w:r>
        <w:rPr>
          <w:rFonts w:ascii="Carlito" w:hAnsi="Carlito"/>
          <w:b/>
          <w:color w:val="173F35"/>
        </w:rPr>
        <w:t xml:space="preserve">10. </w:t>
      </w:r>
      <w:r>
        <w:rPr>
          <w:rFonts w:ascii="Carlito" w:hAnsi="Carlito"/>
        </w:rPr>
        <w:t>DecisionReceipt becomes available with explorer links and metrics update.</w:t>
      </w:r>
    </w:p>
    <w:p>
      <w:pPr>
        <w:pStyle w:val="Heading2"/>
        <w:keepNext/>
        <w:spacing w:before="120" w:after="80"/>
      </w:pPr>
      <w:r>
        <w:rPr>
          <w:rFonts w:ascii="Carlito" w:hAnsi="Carlito"/>
          <w:b/>
          <w:color w:val="17211E"/>
          <w:sz w:val="26"/>
        </w:rPr>
        <w:t>15.2 Flow B - Duplicate invoice</w:t>
      </w:r>
    </w:p>
    <w:p>
      <w:pPr>
        <w:spacing w:after="60"/>
        <w:ind w:left="360" w:hanging="259"/>
      </w:pPr>
      <w:r>
        <w:rPr>
          <w:rFonts w:ascii="Carlito" w:hAnsi="Carlito"/>
          <w:b/>
          <w:color w:val="173F35"/>
        </w:rPr>
        <w:t xml:space="preserve">1. </w:t>
      </w:r>
      <w:r>
        <w:rPr>
          <w:rFonts w:ascii="Carlito" w:hAnsi="Carlito"/>
        </w:rPr>
        <w:t>Second copy of an already-open or settled invoice enters through email/upload.</w:t>
      </w:r>
    </w:p>
    <w:p>
      <w:pPr>
        <w:spacing w:after="60"/>
        <w:ind w:left="360" w:hanging="259"/>
      </w:pPr>
      <w:r>
        <w:rPr>
          <w:rFonts w:ascii="Carlito" w:hAnsi="Carlito"/>
          <w:b/>
          <w:color w:val="173F35"/>
        </w:rPr>
        <w:t xml:space="preserve">2. </w:t>
      </w:r>
      <w:r>
        <w:rPr>
          <w:rFonts w:ascii="Carlito" w:hAnsi="Carlito"/>
        </w:rPr>
        <w:t>Canonical fingerprint matches existing obligation or settlement.</w:t>
      </w:r>
    </w:p>
    <w:p>
      <w:pPr>
        <w:spacing w:after="60"/>
        <w:ind w:left="360" w:hanging="259"/>
      </w:pPr>
      <w:r>
        <w:rPr>
          <w:rFonts w:ascii="Carlito" w:hAnsi="Carlito"/>
          <w:b/>
          <w:color w:val="173F35"/>
        </w:rPr>
        <w:t xml:space="preserve">3. </w:t>
      </w:r>
      <w:r>
        <w:rPr>
          <w:rFonts w:ascii="Carlito" w:hAnsi="Carlito"/>
        </w:rPr>
        <w:t>Witness returns REJECT: DUPLICATE_OBLIGATION / ALREADY_SETTLED.</w:t>
      </w:r>
    </w:p>
    <w:p>
      <w:pPr>
        <w:spacing w:after="60"/>
        <w:ind w:left="360" w:hanging="259"/>
      </w:pPr>
      <w:r>
        <w:rPr>
          <w:rFonts w:ascii="Carlito" w:hAnsi="Carlito"/>
          <w:b/>
          <w:color w:val="173F35"/>
        </w:rPr>
        <w:t xml:space="preserve">4. </w:t>
      </w:r>
      <w:r>
        <w:rPr>
          <w:rFonts w:ascii="Carlito" w:hAnsi="Carlito"/>
        </w:rPr>
        <w:t>No attestation is issued and no transaction is prepared.</w:t>
      </w:r>
    </w:p>
    <w:p>
      <w:pPr>
        <w:spacing w:after="60"/>
        <w:ind w:left="360" w:hanging="259"/>
      </w:pPr>
      <w:r>
        <w:rPr>
          <w:rFonts w:ascii="Carlito" w:hAnsi="Carlito"/>
          <w:b/>
          <w:color w:val="173F35"/>
        </w:rPr>
        <w:t xml:space="preserve">5. </w:t>
      </w:r>
      <w:r>
        <w:rPr>
          <w:rFonts w:ascii="Carlito" w:hAnsi="Carlito"/>
        </w:rPr>
        <w:t>Reviewer sees exact matching fields and original obligation/transaction.</w:t>
      </w:r>
    </w:p>
    <w:p>
      <w:pPr>
        <w:pStyle w:val="Heading2"/>
        <w:keepNext/>
        <w:spacing w:before="120" w:after="80"/>
      </w:pPr>
      <w:r>
        <w:rPr>
          <w:rFonts w:ascii="Carlito" w:hAnsi="Carlito"/>
          <w:b/>
          <w:color w:val="17211E"/>
          <w:sz w:val="26"/>
        </w:rPr>
        <w:t>15.3 Flow C - Vendor destination change</w:t>
      </w:r>
    </w:p>
    <w:p>
      <w:pPr>
        <w:spacing w:after="60"/>
        <w:ind w:left="360" w:hanging="259"/>
      </w:pPr>
      <w:r>
        <w:rPr>
          <w:rFonts w:ascii="Carlito" w:hAnsi="Carlito"/>
          <w:b/>
          <w:color w:val="173F35"/>
        </w:rPr>
        <w:t xml:space="preserve">1. </w:t>
      </w:r>
      <w:r>
        <w:rPr>
          <w:rFonts w:ascii="Carlito" w:hAnsi="Carlito"/>
        </w:rPr>
        <w:t>A new invoice/email contains a payout address different from the verified vendor master.</w:t>
      </w:r>
    </w:p>
    <w:p>
      <w:pPr>
        <w:spacing w:after="60"/>
        <w:ind w:left="360" w:hanging="259"/>
      </w:pPr>
      <w:r>
        <w:rPr>
          <w:rFonts w:ascii="Carlito" w:hAnsi="Carlito"/>
          <w:b/>
          <w:color w:val="173F35"/>
        </w:rPr>
        <w:t xml:space="preserve">2. </w:t>
      </w:r>
      <w:r>
        <w:rPr>
          <w:rFonts w:ascii="Carlito" w:hAnsi="Carlito"/>
        </w:rPr>
        <w:t>Parser extracts the new address but does not mutate the vendor record.</w:t>
      </w:r>
    </w:p>
    <w:p>
      <w:pPr>
        <w:spacing w:after="60"/>
        <w:ind w:left="360" w:hanging="259"/>
      </w:pPr>
      <w:r>
        <w:rPr>
          <w:rFonts w:ascii="Carlito" w:hAnsi="Carlito"/>
          <w:b/>
          <w:color w:val="173F35"/>
        </w:rPr>
        <w:t xml:space="preserve">3. </w:t>
      </w:r>
      <w:r>
        <w:rPr>
          <w:rFonts w:ascii="Carlito" w:hAnsi="Carlito"/>
        </w:rPr>
        <w:t>Witness returns HOLD: DESTINATION_CHANGED.</w:t>
      </w:r>
    </w:p>
    <w:p>
      <w:pPr>
        <w:spacing w:after="60"/>
        <w:ind w:left="360" w:hanging="259"/>
      </w:pPr>
      <w:r>
        <w:rPr>
          <w:rFonts w:ascii="Carlito" w:hAnsi="Carlito"/>
          <w:b/>
          <w:color w:val="173F35"/>
        </w:rPr>
        <w:t xml:space="preserve">4. </w:t>
      </w:r>
      <w:r>
        <w:rPr>
          <w:rFonts w:ascii="Carlito" w:hAnsi="Carlito"/>
        </w:rPr>
        <w:t>Owner verifies the change through an out-of-band workflow and explicitly approves the new destination.</w:t>
      </w:r>
    </w:p>
    <w:p>
      <w:pPr>
        <w:spacing w:after="60"/>
        <w:ind w:left="360" w:hanging="259"/>
      </w:pPr>
      <w:r>
        <w:rPr>
          <w:rFonts w:ascii="Carlito" w:hAnsi="Carlito"/>
          <w:b/>
          <w:color w:val="173F35"/>
        </w:rPr>
        <w:t xml:space="preserve">5. </w:t>
      </w:r>
      <w:r>
        <w:rPr>
          <w:rFonts w:ascii="Carlito" w:hAnsi="Carlito"/>
        </w:rPr>
        <w:t>Vendor version increments; old witness attestations become invalid.</w:t>
      </w:r>
    </w:p>
    <w:p>
      <w:pPr>
        <w:spacing w:after="60"/>
        <w:ind w:left="360" w:hanging="259"/>
      </w:pPr>
      <w:r>
        <w:rPr>
          <w:rFonts w:ascii="Carlito" w:hAnsi="Carlito"/>
          <w:b/>
          <w:color w:val="173F35"/>
        </w:rPr>
        <w:t xml:space="preserve">6. </w:t>
      </w:r>
      <w:r>
        <w:rPr>
          <w:rFonts w:ascii="Carlito" w:hAnsi="Carlito"/>
        </w:rPr>
        <w:t>Obligation is re-verified against the new version before any payment can proceed.</w:t>
      </w:r>
    </w:p>
    <w:p>
      <w:pPr>
        <w:pStyle w:val="Heading2"/>
        <w:keepNext/>
        <w:spacing w:before="120" w:after="80"/>
      </w:pPr>
      <w:r>
        <w:rPr>
          <w:rFonts w:ascii="Carlito" w:hAnsi="Carlito"/>
          <w:b/>
          <w:color w:val="17211E"/>
          <w:sz w:val="26"/>
        </w:rPr>
        <w:t>15.4 Flow D - Cash-constrained prioritization</w:t>
      </w:r>
    </w:p>
    <w:p>
      <w:pPr>
        <w:spacing w:after="60"/>
        <w:ind w:left="360" w:hanging="259"/>
      </w:pPr>
      <w:r>
        <w:rPr>
          <w:rFonts w:ascii="Carlito" w:hAnsi="Carlito"/>
          <w:b/>
          <w:color w:val="173F35"/>
        </w:rPr>
        <w:t xml:space="preserve">1. </w:t>
      </w:r>
      <w:r>
        <w:rPr>
          <w:rFonts w:ascii="Carlito" w:hAnsi="Carlito"/>
        </w:rPr>
        <w:t>Multiple obligations are VERIFIED but paying all immediately would violate reserve goals.</w:t>
      </w:r>
    </w:p>
    <w:p>
      <w:pPr>
        <w:spacing w:after="60"/>
        <w:ind w:left="360" w:hanging="259"/>
      </w:pPr>
      <w:r>
        <w:rPr>
          <w:rFonts w:ascii="Carlito" w:hAnsi="Carlito"/>
          <w:b/>
          <w:color w:val="173F35"/>
        </w:rPr>
        <w:t xml:space="preserve">2. </w:t>
      </w:r>
      <w:r>
        <w:rPr>
          <w:rFonts w:ascii="Carlito" w:hAnsi="Carlito"/>
        </w:rPr>
        <w:t>Decision Agent evaluates due risk, discount economics, vendor criticality, expected inflows and uncertainty.</w:t>
      </w:r>
    </w:p>
    <w:p>
      <w:pPr>
        <w:spacing w:after="60"/>
        <w:ind w:left="360" w:hanging="259"/>
      </w:pPr>
      <w:r>
        <w:rPr>
          <w:rFonts w:ascii="Carlito" w:hAnsi="Carlito"/>
          <w:b/>
          <w:color w:val="173F35"/>
        </w:rPr>
        <w:t xml:space="preserve">3. </w:t>
      </w:r>
      <w:r>
        <w:rPr>
          <w:rFonts w:ascii="Carlito" w:hAnsi="Carlito"/>
        </w:rPr>
        <w:t>Agent emits PAY_NOW / SCHEDULE / ESCALATE decisions with reason codes and rationale.</w:t>
      </w:r>
    </w:p>
    <w:p>
      <w:pPr>
        <w:spacing w:after="60"/>
        <w:ind w:left="360" w:hanging="259"/>
      </w:pPr>
      <w:r>
        <w:rPr>
          <w:rFonts w:ascii="Carlito" w:hAnsi="Carlito"/>
          <w:b/>
          <w:color w:val="173F35"/>
        </w:rPr>
        <w:t xml:space="preserve">4. </w:t>
      </w:r>
      <w:r>
        <w:rPr>
          <w:rFonts w:ascii="Carlito" w:hAnsi="Carlito"/>
        </w:rPr>
        <w:t>Plan validator mechanically verifies reserve and policy constraints.</w:t>
      </w:r>
    </w:p>
    <w:p>
      <w:pPr>
        <w:spacing w:after="60"/>
        <w:ind w:left="360" w:hanging="259"/>
      </w:pPr>
      <w:r>
        <w:rPr>
          <w:rFonts w:ascii="Carlito" w:hAnsi="Carlito"/>
          <w:b/>
          <w:color w:val="173F35"/>
        </w:rPr>
        <w:t xml:space="preserve">5. </w:t>
      </w:r>
      <w:r>
        <w:rPr>
          <w:rFonts w:ascii="Carlito" w:hAnsi="Carlito"/>
        </w:rPr>
        <w:t>Owner sees a concise explanation and can override only through an explicit recorded action.</w:t>
      </w:r>
    </w:p>
    <w:p>
      <w:pPr>
        <w:pStyle w:val="Heading1"/>
        <w:keepNext/>
        <w:spacing w:before="200" w:after="80"/>
      </w:pPr>
      <w:r>
        <w:rPr>
          <w:rFonts w:ascii="Carlito" w:hAnsi="Carlito"/>
          <w:b/>
          <w:color w:val="173F35"/>
          <w:sz w:val="36"/>
        </w:rPr>
        <w:t>16. Functional Requirements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93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ID</w:t>
            </w:r>
          </w:p>
        </w:tc>
        <w:tc>
          <w:tcPr>
            <w:tcW w:type="dxa" w:w="25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Requirement</w:t>
            </w:r>
          </w:p>
        </w:tc>
        <w:tc>
          <w:tcPr>
            <w:tcW w:type="dxa" w:w="64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Pri.</w:t>
            </w:r>
          </w:p>
        </w:tc>
        <w:tc>
          <w:tcPr>
            <w:tcW w:type="dxa" w:w="568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Acceptance summary</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FR-001</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Business configuration</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Create a business, base currency, timezone, minimum reserve and approval threshold.</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FR-002</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 registry</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Create vendor, stable identity fields, current verified payout destination and version.</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FR-003</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Evidence ingestion</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Upload or ingest invoice, agreement and delivery evidence with immutable hashes/provenance.</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FR-004</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Normalization</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Extract canonical vendor, invoice ID, dates, currency, amount, references, line items and destination without guessing missing fields.</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FR-005</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 creation</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Create a business-semantic obligation record and canonical duplicate fingerprint.</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FR-006</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 verification</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Execute W01-W10 and store check-level results.</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FR-007</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Hold/reject queue</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Display failure reason and exact evidence/check that prevented verification.</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FR-008</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Destination-change workflow</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Require explicit owner re-verification; increment vendor version.</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FR-009</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Decision planning</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Run agent over VERIFIED obligations and business state; produce structured plan with rationale.</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FR-010</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Plan validation</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Reject any plan that changes obligation amount/payee or violates reserve/policy.</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FR-011</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 attestation</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Sign short-lived typed authorization bound to obligation/payee/amount/evidence/vendor/policy versions.</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FR-012</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On-chain release</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ObligationVault settles only valid one-time attestation to current verified destination.</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FR-013</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Settlement tracking</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Track submitted/finalized/reverted state and link explorer record.</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FR-014</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Decision receipt</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Render human-readable and machine-readable receipt for every decision.</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FR-015</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Metrics</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Compute RFB-aligned metrics and distinguish real traction from adversarial/demo tests.</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FR-016</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Manual escalation</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Owner can resolve HOLD with explicit action; system records who/what changed.</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FR-017</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Human approval signature</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P1</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Require owner EIP-712 signature above threshold.</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FR-018</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Simulation</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P1</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Preflight transaction via Aomi/local fork and display expected balance/state changes.</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FR-019</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Email ingestion</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P1</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Forward or connect invoice mailbox for pilot.</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FR-020</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Mainnet mode</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P1</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Support low-value mainnet pilot with environment isolation and explicit confirmation.</w:t>
            </w:r>
          </w:p>
        </w:tc>
      </w:tr>
      <w:tr>
        <w:tc>
          <w:tcPr>
            <w:tcW w:type="dxa" w:w="93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FR-021</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Cross-chain payout</w:t>
            </w:r>
          </w:p>
        </w:tc>
        <w:tc>
          <w:tcPr>
            <w:tcW w:type="dxa" w:w="64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P2</w:t>
            </w:r>
          </w:p>
        </w:tc>
        <w:tc>
          <w:tcPr>
            <w:tcW w:type="dxa" w:w="568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Use CCTP only for validated real vendor request.</w:t>
            </w:r>
          </w:p>
        </w:tc>
      </w:tr>
      <w:tr>
        <w:tc>
          <w:tcPr>
            <w:tcW w:type="dxa" w:w="93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FR-022</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EURC</w:t>
            </w:r>
          </w:p>
        </w:tc>
        <w:tc>
          <w:tcPr>
            <w:tcW w:type="dxa" w:w="64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P2</w:t>
            </w:r>
          </w:p>
        </w:tc>
        <w:tc>
          <w:tcPr>
            <w:tcW w:type="dxa" w:w="568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Support EUR-denominated obligation only if pilot requires it.</w:t>
            </w:r>
          </w:p>
        </w:tc>
      </w:tr>
    </w:tbl>
    <w:p>
      <w:pPr>
        <w:spacing w:after="20"/>
      </w:pPr>
    </w:p>
    <w:p>
      <w:pPr>
        <w:pStyle w:val="Heading1"/>
        <w:keepNext/>
        <w:spacing w:before="200" w:after="80"/>
      </w:pPr>
      <w:r>
        <w:rPr>
          <w:rFonts w:ascii="Carlito" w:hAnsi="Carlito"/>
          <w:b/>
          <w:color w:val="173F35"/>
          <w:sz w:val="36"/>
        </w:rPr>
        <w:t>17. Non-Functional Requirements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80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Area</w:t>
            </w:r>
          </w:p>
        </w:tc>
        <w:tc>
          <w:tcPr>
            <w:tcW w:type="dxa" w:w="799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Requirement</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Correctness</w:t>
            </w:r>
          </w:p>
        </w:tc>
        <w:tc>
          <w:tcPr>
            <w:tcW w:type="dxa" w:w="79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Authorization must be deterministic and reproducible from stored evidence/check results. No silent coercion of invalid data.</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Idempotency</w:t>
            </w:r>
          </w:p>
        </w:tc>
        <w:tc>
          <w:tcPr>
            <w:tcW w:type="dxa" w:w="79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Repeated ingestion or execution cannot create a second settlement for the same business obligation.</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Security</w:t>
            </w:r>
          </w:p>
        </w:tc>
        <w:tc>
          <w:tcPr>
            <w:tcW w:type="dxa" w:w="79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No wallet private key or signing secret enters an LLM prompt, document parser, browser log or public telemetry.</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Privacy</w:t>
            </w:r>
          </w:p>
        </w:tc>
        <w:tc>
          <w:tcPr>
            <w:tcW w:type="dxa" w:w="79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Raw invoices/contracts/delivery records remain off-chain; public demo redacts sensitive identifiers.</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Auditability</w:t>
            </w:r>
          </w:p>
        </w:tc>
        <w:tc>
          <w:tcPr>
            <w:tcW w:type="dxa" w:w="79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Every state transition records actor/service, timestamp, previous/new state, reason code and relevant hashes.</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Availability</w:t>
            </w:r>
          </w:p>
        </w:tc>
        <w:tc>
          <w:tcPr>
            <w:tcW w:type="dxa" w:w="79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External integration failure produces HOLD/RETRY, never an unverified payment.</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Latency</w:t>
            </w:r>
          </w:p>
        </w:tc>
        <w:tc>
          <w:tcPr>
            <w:tcW w:type="dxa" w:w="79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Witness verification target &lt;10 seconds for already-ingested structured evidence; chain settlement latency is external.</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Explainability</w:t>
            </w:r>
          </w:p>
        </w:tc>
        <w:tc>
          <w:tcPr>
            <w:tcW w:type="dxa" w:w="79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Each HOLD/REJECT exposes the first failing deterministic check plus supporting field comparison.</w:t>
            </w:r>
          </w:p>
        </w:tc>
      </w:tr>
      <w:tr>
        <w:tc>
          <w:tcPr>
            <w:tcW w:type="dxa" w:w="18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Portability</w:t>
            </w:r>
          </w:p>
        </w:tc>
        <w:tc>
          <w:tcPr>
            <w:tcW w:type="dxa" w:w="799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Model provider, parser, simulation adapter and wallet provider remain behind interfaces.</w:t>
            </w:r>
          </w:p>
        </w:tc>
      </w:tr>
      <w:tr>
        <w:tc>
          <w:tcPr>
            <w:tcW w:type="dxa" w:w="18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Reviewer usability</w:t>
            </w:r>
          </w:p>
        </w:tc>
        <w:tc>
          <w:tcPr>
            <w:tcW w:type="dxa" w:w="799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judge can understand and test the product from the live app without private setup or founder narration.</w:t>
            </w:r>
          </w:p>
        </w:tc>
      </w:tr>
    </w:tbl>
    <w:p>
      <w:pPr>
        <w:spacing w:after="20"/>
      </w:pPr>
    </w:p>
    <w:p>
      <w:pPr>
        <w:pStyle w:val="Heading1"/>
        <w:keepNext/>
        <w:spacing w:before="200" w:after="80"/>
      </w:pPr>
      <w:r>
        <w:rPr>
          <w:rFonts w:ascii="Carlito" w:hAnsi="Carlito"/>
          <w:b/>
          <w:color w:val="173F35"/>
          <w:sz w:val="36"/>
        </w:rPr>
        <w:t>18. Data Model</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5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Table</w:t>
            </w:r>
          </w:p>
        </w:tc>
        <w:tc>
          <w:tcPr>
            <w:tcW w:type="dxa" w:w="727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Important fields</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businesses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name, timezone, base_currency, min_reserve, approval_threshold, environment</w:t>
            </w:r>
          </w:p>
        </w:tc>
      </w:tr>
      <w:tr>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vendors</w:t>
            </w:r>
          </w:p>
        </w:tc>
        <w:tc>
          <w:tcPr>
            <w:tcW w:type="dxa" w:w="72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business_id, legal_name, normalized_name, status, current_version</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vendor_destinations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vendor_id, version, chain, address, verification_method, approved_by, approved_at, status</w:t>
            </w:r>
          </w:p>
        </w:tc>
      </w:tr>
      <w:tr>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evidence_artifacts</w:t>
            </w:r>
          </w:p>
        </w:tc>
        <w:tc>
          <w:tcPr>
            <w:tcW w:type="dxa" w:w="72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business_id, type, source_uri, content_hash, mime_type, parser_version, extracted_json, provenance_json</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business_id, vendor_id, invoice_key, amount_minor, currency, issue_date, due_date, status, settled_tx</w:t>
            </w:r>
          </w:p>
        </w:tc>
      </w:tr>
      <w:tr>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obligation_evidence</w:t>
            </w:r>
          </w:p>
        </w:tc>
        <w:tc>
          <w:tcPr>
            <w:tcW w:type="dxa" w:w="72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obligation_id, artifact_id, role, required, match_result</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witness_runs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obligation_id, vendor_version, evidence_root, verdict, checks_json, signer_version, created_at</w:t>
            </w:r>
          </w:p>
        </w:tc>
      </w:tr>
      <w:tr>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payment_plans</w:t>
            </w:r>
          </w:p>
        </w:tc>
        <w:tc>
          <w:tcPr>
            <w:tcW w:type="dxa" w:w="72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business_id, business_state_hash, model, decisions_json, rationale, created_at</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payment_intents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plan_id, obligation_id, action, amount_minor, payee, state, policy_version</w:t>
            </w:r>
          </w:p>
        </w:tc>
      </w:tr>
      <w:tr>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attestations</w:t>
            </w:r>
          </w:p>
        </w:tc>
        <w:tc>
          <w:tcPr>
            <w:tcW w:type="dxa" w:w="72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intent_id, typed_data_hash, valid_until, witness_signature, vendor_version, policy_version</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settlements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intent_id, chain, tx_hash, submitted_at, finalized_at, status, receipt_hash</w:t>
            </w:r>
          </w:p>
        </w:tc>
      </w:tr>
      <w:tr>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audit_events</w:t>
            </w:r>
          </w:p>
        </w:tc>
        <w:tc>
          <w:tcPr>
            <w:tcW w:type="dxa" w:w="72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business_id, entity_type, entity_id, action, actor, reason_code, payload_hash, created_at</w:t>
            </w:r>
          </w:p>
        </w:tc>
      </w:tr>
      <w:tr>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feedback_events</w:t>
            </w:r>
          </w:p>
        </w:tc>
        <w:tc>
          <w:tcPr>
            <w:tcW w:type="dxa" w:w="72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id, business_id, user_id, decision_id, agreed, note, created_at</w:t>
            </w:r>
          </w:p>
        </w:tc>
      </w:tr>
    </w:tbl>
    <w:p>
      <w:pPr>
        <w:spacing w:after="20"/>
      </w:pPr>
    </w:p>
    <w:p>
      <w:pPr>
        <w:pStyle w:val="Heading2"/>
        <w:keepNext/>
        <w:spacing w:before="120" w:after="80"/>
      </w:pPr>
      <w:r>
        <w:rPr>
          <w:rFonts w:ascii="Carlito" w:hAnsi="Carlito"/>
          <w:b/>
          <w:color w:val="17211E"/>
          <w:sz w:val="26"/>
        </w:rPr>
        <w:t>18.1 Money representation</w:t>
      </w:r>
    </w:p>
    <w:p>
      <w:pPr>
        <w:spacing w:after="100"/>
      </w:pPr>
      <w:r>
        <w:rPr>
          <w:rFonts w:ascii="Carlito" w:hAnsi="Carlito"/>
          <w:i w:val="0"/>
        </w:rPr>
        <w:t>All monetary values are stored as integers in the token’s smallest unit plus explicit token decimals. Never use floating-point arithmetic. The UI formats amounts for display; contracts receive integer units.</w:t>
      </w:r>
    </w:p>
    <w:p>
      <w:pPr>
        <w:pStyle w:val="Heading1"/>
        <w:keepNext/>
        <w:spacing w:before="200" w:after="80"/>
      </w:pPr>
      <w:r>
        <w:rPr>
          <w:rFonts w:ascii="Carlito" w:hAnsi="Carlito"/>
          <w:b/>
          <w:color w:val="173F35"/>
          <w:sz w:val="36"/>
        </w:rPr>
        <w:t>19. API Surface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Method</w:t>
            </w:r>
          </w:p>
        </w:tc>
        <w:tc>
          <w:tcPr>
            <w:tcW w:type="dxa" w:w="367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Endpoint</w:t>
            </w:r>
          </w:p>
        </w:tc>
        <w:tc>
          <w:tcPr>
            <w:tcW w:type="dxa" w:w="496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Purpose</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/v1/businesses</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Create pilot business and policy.</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/v1/vendors</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Create vendor identity.</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/v1/vendors/:id/destinations</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Propose/verify payout destination.</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/v1/evidence</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Upload/ingest evidence artifact.</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/v1/obligations</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Create or infer obligation from evidence.</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/v1/obligations/:id/verify</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Run witness checks.</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GET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/v1/obligations</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Queue/filter by VERIFIED/HOLD/REJECT/SETTLED.</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/v1/plans/run</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Run payment planner over VERIFIED obligations.</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/v1/intents/:id/attest</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Create witness attestation after plan validation.</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/v1/intents/:id/simulate</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Run optional execution preflight.</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/v1/intents/:id/submit</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Submit authorized Arc transaction.</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GET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/v1/receipts/:id</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Return decision receipt and proof links.</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GET</w:t>
            </w:r>
          </w:p>
        </w:tc>
        <w:tc>
          <w:tcPr>
            <w:tcW w:type="dxa" w:w="367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/v1/metrics</w:t>
            </w:r>
          </w:p>
        </w:tc>
        <w:tc>
          <w:tcPr>
            <w:tcW w:type="dxa" w:w="49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RFB-aligned product/traction metrics.</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POST</w:t>
            </w:r>
          </w:p>
        </w:tc>
        <w:tc>
          <w:tcPr>
            <w:tcW w:type="dxa" w:w="367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/v1/feedback/:decisionId</w:t>
            </w:r>
          </w:p>
        </w:tc>
        <w:tc>
          <w:tcPr>
            <w:tcW w:type="dxa" w:w="49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Record owner agreement/override for human agreement rate.</w:t>
            </w:r>
          </w:p>
        </w:tc>
      </w:tr>
    </w:tbl>
    <w:p>
      <w:pPr>
        <w:spacing w:after="20"/>
      </w:pPr>
    </w:p>
    <w:p>
      <w:pPr>
        <w:pStyle w:val="Heading2"/>
        <w:keepNext/>
        <w:spacing w:before="120" w:after="80"/>
      </w:pPr>
      <w:r>
        <w:rPr>
          <w:rFonts w:ascii="Carlito" w:hAnsi="Carlito"/>
          <w:b/>
          <w:color w:val="17211E"/>
          <w:sz w:val="26"/>
        </w:rPr>
        <w:t>19.1 API authorization model</w:t>
      </w:r>
    </w:p>
    <w:p>
      <w:pPr>
        <w:pStyle w:val="ListBullet"/>
        <w:spacing w:after="80"/>
        <w:ind w:left="317" w:hanging="173"/>
      </w:pPr>
      <w:r>
        <w:rPr>
          <w:rFonts w:ascii="Carlito" w:hAnsi="Carlito"/>
        </w:rPr>
        <w:t>Owner routes require authenticated business session.</w:t>
      </w:r>
    </w:p>
    <w:p>
      <w:pPr>
        <w:pStyle w:val="ListBullet"/>
        <w:spacing w:after="80"/>
        <w:ind w:left="317" w:hanging="173"/>
      </w:pPr>
      <w:r>
        <w:rPr>
          <w:rFonts w:ascii="Carlito" w:hAnsi="Carlito"/>
        </w:rPr>
        <w:t>Agent/planner receives only scoped read tools plus plan-submission capability; it cannot directly mutate vendor master or evidence verdicts.</w:t>
      </w:r>
    </w:p>
    <w:p>
      <w:pPr>
        <w:pStyle w:val="ListBullet"/>
        <w:spacing w:after="80"/>
        <w:ind w:left="317" w:hanging="173"/>
      </w:pPr>
      <w:r>
        <w:rPr>
          <w:rFonts w:ascii="Carlito" w:hAnsi="Carlito"/>
        </w:rPr>
        <w:t>Witness signing route is internal and accepts only deterministic verifier output, never raw model claims.</w:t>
      </w:r>
    </w:p>
    <w:p>
      <w:pPr>
        <w:pStyle w:val="ListBullet"/>
        <w:spacing w:after="80"/>
        <w:ind w:left="317" w:hanging="173"/>
      </w:pPr>
      <w:r>
        <w:rPr>
          <w:rFonts w:ascii="Carlito" w:hAnsi="Carlito"/>
        </w:rPr>
        <w:t>Settlement route requires a valid attestation and contract call preparation; final authority remains on-chain.</w:t>
      </w:r>
    </w:p>
    <w:p>
      <w:pPr>
        <w:pStyle w:val="Heading1"/>
        <w:keepNext/>
        <w:spacing w:before="200" w:after="80"/>
      </w:pPr>
      <w:r>
        <w:rPr>
          <w:rFonts w:ascii="Carlito" w:hAnsi="Carlito"/>
          <w:b/>
          <w:color w:val="173F35"/>
          <w:sz w:val="36"/>
        </w:rPr>
        <w:t>20. User Experience and Screens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Screen</w:t>
            </w:r>
          </w:p>
        </w:tc>
        <w:tc>
          <w:tcPr>
            <w:tcW w:type="dxa" w:w="777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Must show</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Dashboard</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Real businesses onboarded, obligations processed, USDC moved, duplicates blocked, autonomous vs escalated, human agreement rate.</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Obligations Queue</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Status, vendor, amount, due date, evidence completeness, witness verdict, planned action.</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Obligation Detail</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Invoice/agreement/delivery summary, field-by-field matches, vendor destination status, witness checks, evidence root.</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Payment Plan</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Cash/reserve snapshot, ordered decisions, reasons, schedule and policy validation result.</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Holds &amp; Exceptions</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Reason code, failing fields, required user action, before/after values for destination changes.</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Vendor Detail</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Verified identity, payout destination/version history, payment history, pending changes.</w:t>
            </w:r>
          </w:p>
        </w:tc>
      </w:tr>
      <w:tr>
        <w:tc>
          <w:tcPr>
            <w:tcW w:type="dxa" w:w="20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Decision Receipt</w:t>
            </w:r>
          </w:p>
        </w:tc>
        <w:tc>
          <w:tcPr>
            <w:tcW w:type="dxa" w:w="77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Agent rationale, witness verdict/checks, policy version, attestation hash, simulation result, tx link, receipt hash.</w:t>
            </w:r>
          </w:p>
        </w:tc>
      </w:tr>
      <w:tr>
        <w:tc>
          <w:tcPr>
            <w:tcW w:type="dxa" w:w="20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Settings</w:t>
            </w:r>
          </w:p>
        </w:tc>
        <w:tc>
          <w:tcPr>
            <w:tcW w:type="dxa" w:w="77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Reserve floor, per-payment cap, approval threshold, witness signer, environment, chain/wallet configuration.</w:t>
            </w:r>
          </w:p>
        </w:tc>
      </w:tr>
    </w:tbl>
    <w:p>
      <w:pPr>
        <w:spacing w:after="20"/>
      </w:pPr>
    </w:p>
    <w:p>
      <w:pPr>
        <w:pStyle w:val="Heading2"/>
        <w:keepNext/>
        <w:spacing w:before="120" w:after="80"/>
      </w:pPr>
      <w:r>
        <w:rPr>
          <w:rFonts w:ascii="Carlito" w:hAnsi="Carlito"/>
          <w:b/>
          <w:color w:val="17211E"/>
          <w:sz w:val="26"/>
        </w:rPr>
        <w:t>20.1 Reviewer-mode UX</w:t>
      </w:r>
    </w:p>
    <w:p>
      <w:pPr>
        <w:spacing w:after="100"/>
      </w:pPr>
      <w:r>
        <w:rPr>
          <w:rFonts w:ascii="Carlito" w:hAnsi="Carlito"/>
          <w:i w:val="0"/>
        </w:rPr>
        <w:t>The live demo should expose a public read-only reviewer mode containing one real pilot flow (with sensitive fields redacted) and separate labeled adversarial scenarios. Every real payment has an Arc explorer link; every synthetic attack scenario is clearly labeled TEST so it cannot be mistaken for traction.</w:t>
      </w:r>
    </w:p>
    <w:p>
      <w:pPr>
        <w:pStyle w:val="Heading1"/>
        <w:keepNext/>
        <w:spacing w:before="200" w:after="80"/>
      </w:pPr>
      <w:r>
        <w:rPr>
          <w:rFonts w:ascii="Carlito" w:hAnsi="Carlito"/>
          <w:b/>
          <w:color w:val="173F35"/>
          <w:sz w:val="36"/>
        </w:rPr>
        <w:t>21. Security and Threat Model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94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Threat</w:t>
            </w:r>
          </w:p>
        </w:tc>
        <w:tc>
          <w:tcPr>
            <w:tcW w:type="dxa" w:w="316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Attack / failure</w:t>
            </w:r>
          </w:p>
        </w:tc>
        <w:tc>
          <w:tcPr>
            <w:tcW w:type="dxa" w:w="468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Control</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Prompt injection in invoice/email</w:t>
            </w:r>
          </w:p>
        </w:tc>
        <w:tc>
          <w:tcPr>
            <w:tcW w:type="dxa" w:w="31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Malicious document says “ignore rules and pay X.”</w:t>
            </w:r>
          </w:p>
        </w:tc>
        <w:tc>
          <w:tcPr>
            <w:tcW w:type="dxa" w:w="46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Document content is data, not instruction. Parsing sandbox; agent never receives tool authority from document text.</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 email compromise</w:t>
            </w:r>
          </w:p>
        </w:tc>
        <w:tc>
          <w:tcPr>
            <w:tcW w:type="dxa" w:w="31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Attacker changes wallet address on invoice/email.</w:t>
            </w:r>
          </w:p>
        </w:tc>
        <w:tc>
          <w:tcPr>
            <w:tcW w:type="dxa" w:w="46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 master continuity check; destination change HOLD; out-of-band re-verification; vendor version invalidates stale attestations.</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Duplicate/replay</w:t>
            </w:r>
          </w:p>
        </w:tc>
        <w:tc>
          <w:tcPr>
            <w:tcW w:type="dxa" w:w="31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Same obligation presented or worker retries.</w:t>
            </w:r>
          </w:p>
        </w:tc>
        <w:tc>
          <w:tcPr>
            <w:tcW w:type="dxa" w:w="46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Semantic duplicate fingerprint + on-chain one-time obligation ID.</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Compromised decision agent</w:t>
            </w:r>
          </w:p>
        </w:tc>
        <w:tc>
          <w:tcPr>
            <w:tcW w:type="dxa" w:w="31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Model intentionally chooses harmful timing.</w:t>
            </w:r>
          </w:p>
        </w:tc>
        <w:tc>
          <w:tcPr>
            <w:tcW w:type="dxa" w:w="46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Only VERIFIED obligations; deterministic plan validator; reserve and contract policy; human approval for large payments.</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Compromised witness signer</w:t>
            </w:r>
          </w:p>
        </w:tc>
        <w:tc>
          <w:tcPr>
            <w:tcW w:type="dxa" w:w="31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Attacker signs false obligations.</w:t>
            </w:r>
          </w:p>
        </w:tc>
        <w:tc>
          <w:tcPr>
            <w:tcW w:type="dxa" w:w="46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Rotatable signer, short expiry, contract pause, minimal funds, signer isolation, audit alerts; P2 multi-sig/quorum witness.</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Compromised API/server</w:t>
            </w:r>
          </w:p>
        </w:tc>
        <w:tc>
          <w:tcPr>
            <w:tcW w:type="dxa" w:w="31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Server changes payee/amount after verification.</w:t>
            </w:r>
          </w:p>
        </w:tc>
        <w:tc>
          <w:tcPr>
            <w:tcW w:type="dxa" w:w="46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Attestation binds exact payee/amount/evidence root; contract re-validates; server cannot widen owner policy.</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Stale vendor/policy data</w:t>
            </w:r>
          </w:p>
        </w:tc>
        <w:tc>
          <w:tcPr>
            <w:tcW w:type="dxa" w:w="31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Authorization prepared before a change.</w:t>
            </w:r>
          </w:p>
        </w:tc>
        <w:tc>
          <w:tcPr>
            <w:tcW w:type="dxa" w:w="46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vendorVersion + policyVersion included in typed data and checked on-chain.</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Parser/OCR error</w:t>
            </w:r>
          </w:p>
        </w:tc>
        <w:tc>
          <w:tcPr>
            <w:tcW w:type="dxa" w:w="31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Amount or vendor extracted incorrectly.</w:t>
            </w:r>
          </w:p>
        </w:tc>
        <w:tc>
          <w:tcPr>
            <w:tcW w:type="dxa" w:w="46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Field provenance + deterministic cross-document match; ambiguous required field =&gt; HOLD.</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Malicious file</w:t>
            </w:r>
          </w:p>
        </w:tc>
        <w:tc>
          <w:tcPr>
            <w:tcW w:type="dxa" w:w="31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PDF exploit / oversized file.</w:t>
            </w:r>
          </w:p>
        </w:tc>
        <w:tc>
          <w:tcPr>
            <w:tcW w:type="dxa" w:w="46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Content-type/size limits, sandbox extraction, no execution, virus scan if available.</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Private data leakage</w:t>
            </w:r>
          </w:p>
        </w:tc>
        <w:tc>
          <w:tcPr>
            <w:tcW w:type="dxa" w:w="31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Raw documents or vendor network become public.</w:t>
            </w:r>
          </w:p>
        </w:tc>
        <w:tc>
          <w:tcPr>
            <w:tcW w:type="dxa" w:w="46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Off-chain encrypted storage; on-chain hashes/amount/payee only as required; redacted public demo.</w:t>
            </w:r>
          </w:p>
        </w:tc>
      </w:tr>
      <w:tr>
        <w:tc>
          <w:tcPr>
            <w:tcW w:type="dxa" w:w="194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Signature replay</w:t>
            </w:r>
          </w:p>
        </w:tc>
        <w:tc>
          <w:tcPr>
            <w:tcW w:type="dxa" w:w="316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Human approval reused.</w:t>
            </w:r>
          </w:p>
        </w:tc>
        <w:tc>
          <w:tcPr>
            <w:tcW w:type="dxa" w:w="46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Bind signature to obligation ID, payee, amount, policy/vendor versions, nonce/deadline.</w:t>
            </w:r>
          </w:p>
        </w:tc>
      </w:tr>
      <w:tr>
        <w:tc>
          <w:tcPr>
            <w:tcW w:type="dxa" w:w="194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Wrong token decimals</w:t>
            </w:r>
          </w:p>
        </w:tc>
        <w:tc>
          <w:tcPr>
            <w:tcW w:type="dxa" w:w="316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USDC representation mismatch across environment.</w:t>
            </w:r>
          </w:p>
        </w:tc>
        <w:tc>
          <w:tcPr>
            <w:tcW w:type="dxa" w:w="46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Resolve token metadata from deployment config; integer arithmetic; deployment assertion tests; never hardcode assumptions from transcript.</w:t>
            </w:r>
          </w:p>
        </w:tc>
      </w:tr>
    </w:tbl>
    <w:p>
      <w:pPr>
        <w:spacing w:after="20"/>
      </w:pPr>
    </w:p>
    <w:p>
      <w:pPr>
        <w:pStyle w:val="Heading2"/>
        <w:keepNext/>
        <w:spacing w:before="120" w:after="80"/>
      </w:pPr>
      <w:r>
        <w:rPr>
          <w:rFonts w:ascii="Carlito" w:hAnsi="Carlito"/>
          <w:b/>
          <w:color w:val="17211E"/>
          <w:sz w:val="26"/>
        </w:rPr>
        <w:t>21.1 Safety principle</w:t>
      </w: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Fail closed</w:t>
            </w:r>
          </w:p>
          <w:p>
            <w:pPr>
              <w:spacing w:after="0"/>
            </w:pPr>
            <w:r>
              <w:rPr>
                <w:rFonts w:ascii="Carlito" w:hAnsi="Carlito"/>
                <w:sz w:val="20"/>
              </w:rPr>
              <w:t>Any ambiguity in evidence, destination, version, signature, token configuration or external integration causes HOLD/REVERT. The system never “repairs” financial truth silently to keep a workflow moving.</w:t>
            </w:r>
          </w:p>
        </w:tc>
      </w:tr>
    </w:tbl>
    <w:p>
      <w:pPr>
        <w:spacing w:after="20"/>
      </w:pPr>
    </w:p>
    <w:p>
      <w:pPr>
        <w:pStyle w:val="Heading1"/>
        <w:keepNext/>
        <w:spacing w:before="200" w:after="80"/>
      </w:pPr>
      <w:r>
        <w:rPr>
          <w:rFonts w:ascii="Carlito" w:hAnsi="Carlito"/>
          <w:b/>
          <w:color w:val="173F35"/>
          <w:sz w:val="36"/>
        </w:rPr>
        <w:t>22. Observability, Audit, and Receipts</w:t>
      </w:r>
    </w:p>
    <w:p>
      <w:pPr>
        <w:pStyle w:val="Heading2"/>
        <w:keepNext/>
        <w:spacing w:before="120" w:after="80"/>
      </w:pPr>
      <w:r>
        <w:rPr>
          <w:rFonts w:ascii="Carlito" w:hAnsi="Carlito"/>
          <w:b/>
          <w:color w:val="17211E"/>
          <w:sz w:val="26"/>
        </w:rPr>
        <w:t>22.1 DecisionReceipt contents</w:t>
      </w:r>
    </w:p>
    <w:p>
      <w:pPr>
        <w:pStyle w:val="ListBullet"/>
        <w:spacing w:after="80"/>
        <w:ind w:left="317" w:hanging="173"/>
      </w:pPr>
      <w:r>
        <w:rPr>
          <w:rFonts w:ascii="Carlito" w:hAnsi="Carlito"/>
        </w:rPr>
        <w:t>Receipt ID and hash.</w:t>
      </w:r>
    </w:p>
    <w:p>
      <w:pPr>
        <w:pStyle w:val="ListBullet"/>
        <w:spacing w:after="80"/>
        <w:ind w:left="317" w:hanging="173"/>
      </w:pPr>
      <w:r>
        <w:rPr>
          <w:rFonts w:ascii="Carlito" w:hAnsi="Carlito"/>
        </w:rPr>
        <w:t>Business, vendor and obligation identifiers (redactable in public view).</w:t>
      </w:r>
    </w:p>
    <w:p>
      <w:pPr>
        <w:pStyle w:val="ListBullet"/>
        <w:spacing w:after="80"/>
        <w:ind w:left="317" w:hanging="173"/>
      </w:pPr>
      <w:r>
        <w:rPr>
          <w:rFonts w:ascii="Carlito" w:hAnsi="Carlito"/>
        </w:rPr>
        <w:t>Agent action, rationale, reason codes, model/provider/version and business_state_hash.</w:t>
      </w:r>
    </w:p>
    <w:p>
      <w:pPr>
        <w:pStyle w:val="ListBullet"/>
        <w:spacing w:after="80"/>
        <w:ind w:left="317" w:hanging="173"/>
      </w:pPr>
      <w:r>
        <w:rPr>
          <w:rFonts w:ascii="Carlito" w:hAnsi="Carlito"/>
        </w:rPr>
        <w:t>Evidence artifact hashes and provenance summary.</w:t>
      </w:r>
    </w:p>
    <w:p>
      <w:pPr>
        <w:pStyle w:val="ListBullet"/>
        <w:spacing w:after="80"/>
        <w:ind w:left="317" w:hanging="173"/>
      </w:pPr>
      <w:r>
        <w:rPr>
          <w:rFonts w:ascii="Carlito" w:hAnsi="Carlito"/>
        </w:rPr>
        <w:t>Witness verdict and W01-W10 results.</w:t>
      </w:r>
    </w:p>
    <w:p>
      <w:pPr>
        <w:pStyle w:val="ListBullet"/>
        <w:spacing w:after="80"/>
        <w:ind w:left="317" w:hanging="173"/>
      </w:pPr>
      <w:r>
        <w:rPr>
          <w:rFonts w:ascii="Carlito" w:hAnsi="Carlito"/>
        </w:rPr>
        <w:t>Vendor version, policy version and payout destination check.</w:t>
      </w:r>
    </w:p>
    <w:p>
      <w:pPr>
        <w:pStyle w:val="ListBullet"/>
        <w:spacing w:after="80"/>
        <w:ind w:left="317" w:hanging="173"/>
      </w:pPr>
      <w:r>
        <w:rPr>
          <w:rFonts w:ascii="Carlito" w:hAnsi="Carlito"/>
        </w:rPr>
        <w:t>Attestation hash, expiry and signer version.</w:t>
      </w:r>
    </w:p>
    <w:p>
      <w:pPr>
        <w:pStyle w:val="ListBullet"/>
        <w:spacing w:after="80"/>
        <w:ind w:left="317" w:hanging="173"/>
      </w:pPr>
      <w:r>
        <w:rPr>
          <w:rFonts w:ascii="Carlito" w:hAnsi="Carlito"/>
        </w:rPr>
        <w:t>Simulation result / expected balance delta if used.</w:t>
      </w:r>
    </w:p>
    <w:p>
      <w:pPr>
        <w:pStyle w:val="ListBullet"/>
        <w:spacing w:after="80"/>
        <w:ind w:left="317" w:hanging="173"/>
      </w:pPr>
      <w:r>
        <w:rPr>
          <w:rFonts w:ascii="Carlito" w:hAnsi="Carlito"/>
        </w:rPr>
        <w:t>Arc transaction hash, block/finality status and settlement event.</w:t>
      </w:r>
    </w:p>
    <w:p>
      <w:pPr>
        <w:pStyle w:val="ListBullet"/>
        <w:spacing w:after="80"/>
        <w:ind w:left="317" w:hanging="173"/>
      </w:pPr>
      <w:r>
        <w:rPr>
          <w:rFonts w:ascii="Carlito" w:hAnsi="Carlito"/>
        </w:rPr>
        <w:t>Human approval/override and agreement feedback if applicable.</w:t>
      </w:r>
    </w:p>
    <w:p>
      <w:pPr>
        <w:pStyle w:val="Heading2"/>
        <w:keepNext/>
        <w:spacing w:before="120" w:after="80"/>
      </w:pPr>
      <w:r>
        <w:rPr>
          <w:rFonts w:ascii="Carlito" w:hAnsi="Carlito"/>
          <w:b/>
          <w:color w:val="17211E"/>
          <w:sz w:val="26"/>
        </w:rPr>
        <w:t>22.2 Audit invariants</w:t>
      </w:r>
    </w:p>
    <w:p>
      <w:pPr>
        <w:pStyle w:val="ListBullet"/>
        <w:spacing w:after="80"/>
        <w:ind w:left="317" w:hanging="173"/>
      </w:pPr>
      <w:r>
        <w:rPr>
          <w:rFonts w:ascii="Carlito" w:hAnsi="Carlito"/>
        </w:rPr>
        <w:t>Every state transition is append-only in audit_events.</w:t>
      </w:r>
    </w:p>
    <w:p>
      <w:pPr>
        <w:pStyle w:val="ListBullet"/>
        <w:spacing w:after="80"/>
        <w:ind w:left="317" w:hanging="173"/>
      </w:pPr>
      <w:r>
        <w:rPr>
          <w:rFonts w:ascii="Carlito" w:hAnsi="Carlito"/>
        </w:rPr>
        <w:t>Corrections create new events/versions; they do not rewrite history.</w:t>
      </w:r>
    </w:p>
    <w:p>
      <w:pPr>
        <w:pStyle w:val="ListBullet"/>
        <w:spacing w:after="80"/>
        <w:ind w:left="317" w:hanging="173"/>
      </w:pPr>
      <w:r>
        <w:rPr>
          <w:rFonts w:ascii="Carlito" w:hAnsi="Carlito"/>
        </w:rPr>
        <w:t>Receipt hash is committed in the settlement event or separate minimal anchor.</w:t>
      </w:r>
    </w:p>
    <w:p>
      <w:pPr>
        <w:pStyle w:val="ListBullet"/>
        <w:spacing w:after="80"/>
        <w:ind w:left="317" w:hanging="173"/>
      </w:pPr>
      <w:r>
        <w:rPr>
          <w:rFonts w:ascii="Carlito" w:hAnsi="Carlito"/>
        </w:rPr>
        <w:t>Public reviewer view can recompute receipt hash from the redacted canonical fields that are intentionally public; private evidence is verified by hash commitments rather than exposed.</w:t>
      </w:r>
    </w:p>
    <w:p>
      <w:pPr>
        <w:pStyle w:val="Heading1"/>
        <w:keepNext/>
        <w:spacing w:before="200" w:after="80"/>
      </w:pPr>
      <w:r>
        <w:rPr>
          <w:rFonts w:ascii="Carlito" w:hAnsi="Carlito"/>
          <w:b/>
          <w:color w:val="173F35"/>
          <w:sz w:val="36"/>
        </w:rPr>
        <w:t>23. Metrics and Judging Alignment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Metric</w:t>
            </w:r>
          </w:p>
        </w:tc>
        <w:tc>
          <w:tcPr>
            <w:tcW w:type="dxa" w:w="504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Definition</w:t>
            </w:r>
          </w:p>
        </w:tc>
        <w:tc>
          <w:tcPr>
            <w:tcW w:type="dxa" w:w="25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Judging link</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Real businesses onboarded</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Distinct real operating entities using Euthyna during event.</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Traction</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Obligations / invoices processed</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Real obligation records with evidence ingestion.</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02 / Traction</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USDC payment volume</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Sum of settled real USDC, split mainnet vs testnet.</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02/04 / Traction</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Autonomous obligations settled</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Settled without human intervention after setup.</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04</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Duplicate obligations caught</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Real duplicates separately from adversarial test duplicates.</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02</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Decisions vs escalations</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Planner decisions and witness/policy escalations.</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04</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Human agreement rate</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Percent of reviewed planner decisions accepted without changing action/timing.</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04</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Auto-verification rate</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Percent of obligations reaching VERIFIED without human evidence repair.</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Product quality</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Median witness latency</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Time from evidence-ready to verdict.</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Product quality</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Unsafe payment attempts blocked</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Count/value of HOLD/REJECT events; label TEST vs REAL.</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Innovation / safety proof</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On-time settlement rate</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Verified obligations settled by due date.</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RFB 03/04 adjacency</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Time saved</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Pilot-reported before/after minutes per obligation, if measured honestly.</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Traction narrative</w:t>
            </w:r>
          </w:p>
        </w:tc>
      </w:tr>
    </w:tbl>
    <w:p>
      <w:pPr>
        <w:spacing w:after="20"/>
      </w:pPr>
    </w:p>
    <w:p>
      <w:pPr>
        <w:pStyle w:val="Heading2"/>
        <w:keepNext/>
        <w:spacing w:before="120" w:after="80"/>
      </w:pPr>
      <w:r>
        <w:rPr>
          <w:rFonts w:ascii="Carlito" w:hAnsi="Carlito"/>
          <w:b/>
          <w:color w:val="17211E"/>
          <w:sz w:val="26"/>
        </w:rPr>
        <w:t>23.1 No vanity metrics</w:t>
      </w:r>
    </w:p>
    <w:p>
      <w:pPr>
        <w:spacing w:after="100"/>
      </w:pPr>
      <w:r>
        <w:rPr>
          <w:rFonts w:ascii="Carlito" w:hAnsi="Carlito"/>
          <w:i w:val="0"/>
        </w:rPr>
        <w:t>Follower count, GitHub stars and scripted attack volume must not be presented as traction. The dashboard can show technical test counts separately, but the submission answers should lead with real businesses, real obligations and real USDC volume.</w:t>
      </w:r>
    </w:p>
    <w:p>
      <w:pPr>
        <w:pStyle w:val="Heading1"/>
        <w:keepNext/>
        <w:spacing w:before="200" w:after="80"/>
      </w:pPr>
      <w:r>
        <w:rPr>
          <w:rFonts w:ascii="Carlito" w:hAnsi="Carlito"/>
          <w:b/>
          <w:color w:val="173F35"/>
          <w:sz w:val="36"/>
        </w:rPr>
        <w:t>24. Traction and Design-Partner Plan</w:t>
      </w:r>
    </w:p>
    <w:p>
      <w:pPr>
        <w:pStyle w:val="Heading2"/>
        <w:keepNext/>
        <w:spacing w:before="120" w:after="80"/>
      </w:pPr>
      <w:r>
        <w:rPr>
          <w:rFonts w:ascii="Carlito" w:hAnsi="Carlito"/>
          <w:b/>
          <w:color w:val="17211E"/>
          <w:sz w:val="26"/>
        </w:rPr>
        <w:t>24.1 Minimum traction target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95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Target</w:t>
            </w:r>
          </w:p>
        </w:tc>
        <w:tc>
          <w:tcPr>
            <w:tcW w:type="dxa" w:w="324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Minimum</w:t>
            </w:r>
          </w:p>
        </w:tc>
        <w:tc>
          <w:tcPr>
            <w:tcW w:type="dxa" w:w="360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7"/>
              </w:rPr>
              <w:t>Stretch</w:t>
            </w:r>
          </w:p>
        </w:tc>
      </w:tr>
      <w:tr>
        <w:tc>
          <w:tcPr>
            <w:tcW w:type="dxa" w:w="29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Real businesses</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1</w:t>
            </w:r>
          </w:p>
        </w:tc>
        <w:tc>
          <w:tcPr>
            <w:tcW w:type="dxa" w:w="36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2-3</w:t>
            </w:r>
          </w:p>
        </w:tc>
      </w:tr>
      <w:tr>
        <w:tc>
          <w:tcPr>
            <w:tcW w:type="dxa" w:w="29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Real obligations</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3</w:t>
            </w:r>
          </w:p>
        </w:tc>
        <w:tc>
          <w:tcPr>
            <w:tcW w:type="dxa" w:w="36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8-15</w:t>
            </w:r>
          </w:p>
        </w:tc>
      </w:tr>
      <w:tr>
        <w:tc>
          <w:tcPr>
            <w:tcW w:type="dxa" w:w="29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Settled USDC payments</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2</w:t>
            </w:r>
          </w:p>
        </w:tc>
        <w:tc>
          <w:tcPr>
            <w:tcW w:type="dxa" w:w="36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5-10</w:t>
            </w:r>
          </w:p>
        </w:tc>
      </w:tr>
      <w:tr>
        <w:tc>
          <w:tcPr>
            <w:tcW w:type="dxa" w:w="29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Mainnet real payments</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1 low-value if safe</w:t>
            </w:r>
          </w:p>
        </w:tc>
        <w:tc>
          <w:tcPr>
            <w:tcW w:type="dxa" w:w="36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3+</w:t>
            </w:r>
          </w:p>
        </w:tc>
      </w:tr>
      <w:tr>
        <w:tc>
          <w:tcPr>
            <w:tcW w:type="dxa" w:w="29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Real user interviews</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3</w:t>
            </w:r>
          </w:p>
        </w:tc>
        <w:tc>
          <w:tcPr>
            <w:tcW w:type="dxa" w:w="360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7"/>
              </w:rPr>
              <w:t>6+</w:t>
            </w:r>
          </w:p>
        </w:tc>
      </w:tr>
      <w:tr>
        <w:tc>
          <w:tcPr>
            <w:tcW w:type="dxa" w:w="29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Human agreement feedback</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All planner decisions reviewed by pilot owner</w:t>
            </w:r>
          </w:p>
        </w:tc>
        <w:tc>
          <w:tcPr>
            <w:tcW w:type="dxa" w:w="360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7"/>
              </w:rPr>
              <w:t>&gt;80% agreement without action change</w:t>
            </w:r>
          </w:p>
        </w:tc>
      </w:tr>
    </w:tbl>
    <w:p>
      <w:pPr>
        <w:spacing w:after="20"/>
      </w:pPr>
    </w:p>
    <w:p>
      <w:pPr>
        <w:pStyle w:val="Heading2"/>
        <w:keepNext/>
        <w:spacing w:before="120" w:after="80"/>
      </w:pPr>
      <w:r>
        <w:rPr>
          <w:rFonts w:ascii="Carlito" w:hAnsi="Carlito"/>
          <w:b/>
          <w:color w:val="17211E"/>
          <w:sz w:val="26"/>
        </w:rPr>
        <w:t>24.2 Pilot onboarding checklist</w:t>
      </w:r>
    </w:p>
    <w:p>
      <w:pPr>
        <w:spacing w:after="60"/>
        <w:ind w:left="360" w:hanging="259"/>
      </w:pPr>
      <w:r>
        <w:rPr>
          <w:rFonts w:ascii="Carlito" w:hAnsi="Carlito"/>
          <w:b/>
          <w:color w:val="173F35"/>
        </w:rPr>
        <w:t xml:space="preserve">1. </w:t>
      </w:r>
      <w:r>
        <w:rPr>
          <w:rFonts w:ascii="Carlito" w:hAnsi="Carlito"/>
        </w:rPr>
        <w:t>Confirm the business has a real AP/admin pain and at least one payable obligation during the event.</w:t>
      </w:r>
    </w:p>
    <w:p>
      <w:pPr>
        <w:spacing w:after="60"/>
        <w:ind w:left="360" w:hanging="259"/>
      </w:pPr>
      <w:r>
        <w:rPr>
          <w:rFonts w:ascii="Carlito" w:hAnsi="Carlito"/>
          <w:b/>
          <w:color w:val="173F35"/>
        </w:rPr>
        <w:t xml:space="preserve">2. </w:t>
      </w:r>
      <w:r>
        <w:rPr>
          <w:rFonts w:ascii="Carlito" w:hAnsi="Carlito"/>
        </w:rPr>
        <w:t>Collect only the minimum documents needed; obtain permission to process and redact them for demo.</w:t>
      </w:r>
    </w:p>
    <w:p>
      <w:pPr>
        <w:spacing w:after="60"/>
        <w:ind w:left="360" w:hanging="259"/>
      </w:pPr>
      <w:r>
        <w:rPr>
          <w:rFonts w:ascii="Carlito" w:hAnsi="Carlito"/>
          <w:b/>
          <w:color w:val="173F35"/>
        </w:rPr>
        <w:t xml:space="preserve">3. </w:t>
      </w:r>
      <w:r>
        <w:rPr>
          <w:rFonts w:ascii="Carlito" w:hAnsi="Carlito"/>
        </w:rPr>
        <w:t>Register 1-3 vendors and independently verify payout destinations.</w:t>
      </w:r>
    </w:p>
    <w:p>
      <w:pPr>
        <w:spacing w:after="60"/>
        <w:ind w:left="360" w:hanging="259"/>
      </w:pPr>
      <w:r>
        <w:rPr>
          <w:rFonts w:ascii="Carlito" w:hAnsi="Carlito"/>
          <w:b/>
          <w:color w:val="173F35"/>
        </w:rPr>
        <w:t xml:space="preserve">4. </w:t>
      </w:r>
      <w:r>
        <w:rPr>
          <w:rFonts w:ascii="Carlito" w:hAnsi="Carlito"/>
        </w:rPr>
        <w:t>Set a deliberately small autonomous payment cap and reserve floor.</w:t>
      </w:r>
    </w:p>
    <w:p>
      <w:pPr>
        <w:spacing w:after="60"/>
        <w:ind w:left="360" w:hanging="259"/>
      </w:pPr>
      <w:r>
        <w:rPr>
          <w:rFonts w:ascii="Carlito" w:hAnsi="Carlito"/>
          <w:b/>
          <w:color w:val="173F35"/>
        </w:rPr>
        <w:t xml:space="preserve">5. </w:t>
      </w:r>
      <w:r>
        <w:rPr>
          <w:rFonts w:ascii="Carlito" w:hAnsi="Carlito"/>
        </w:rPr>
        <w:t>Run the first obligation in observe-only mode; compare Euthyna result with owner judgment.</w:t>
      </w:r>
    </w:p>
    <w:p>
      <w:pPr>
        <w:spacing w:after="60"/>
        <w:ind w:left="360" w:hanging="259"/>
      </w:pPr>
      <w:r>
        <w:rPr>
          <w:rFonts w:ascii="Carlito" w:hAnsi="Carlito"/>
          <w:b/>
          <w:color w:val="173F35"/>
        </w:rPr>
        <w:t xml:space="preserve">6. </w:t>
      </w:r>
      <w:r>
        <w:rPr>
          <w:rFonts w:ascii="Carlito" w:hAnsi="Carlito"/>
        </w:rPr>
        <w:t>Run a low-value USDC payment after owner confirmation.</w:t>
      </w:r>
    </w:p>
    <w:p>
      <w:pPr>
        <w:spacing w:after="60"/>
        <w:ind w:left="360" w:hanging="259"/>
      </w:pPr>
      <w:r>
        <w:rPr>
          <w:rFonts w:ascii="Carlito" w:hAnsi="Carlito"/>
          <w:b/>
          <w:color w:val="173F35"/>
        </w:rPr>
        <w:t xml:space="preserve">7. </w:t>
      </w:r>
      <w:r>
        <w:rPr>
          <w:rFonts w:ascii="Carlito" w:hAnsi="Carlito"/>
        </w:rPr>
        <w:t>Collect exact feedback: what was useful, what was wrong, what would prevent continued use.</w:t>
      </w:r>
    </w:p>
    <w:p>
      <w:pPr>
        <w:spacing w:after="60"/>
        <w:ind w:left="360" w:hanging="259"/>
      </w:pPr>
      <w:r>
        <w:rPr>
          <w:rFonts w:ascii="Carlito" w:hAnsi="Carlito"/>
          <w:b/>
          <w:color w:val="173F35"/>
        </w:rPr>
        <w:t xml:space="preserve">8. </w:t>
      </w:r>
      <w:r>
        <w:rPr>
          <w:rFonts w:ascii="Carlito" w:hAnsi="Carlito"/>
        </w:rPr>
        <w:t>Log product/traction updates through Arc Canteen tooling regularly.</w:t>
      </w:r>
    </w:p>
    <w:p>
      <w:pPr>
        <w:pStyle w:val="Heading2"/>
        <w:keepNext/>
        <w:spacing w:before="120" w:after="80"/>
      </w:pPr>
      <w:r>
        <w:rPr>
          <w:rFonts w:ascii="Carlito" w:hAnsi="Carlito"/>
          <w:b/>
          <w:color w:val="17211E"/>
          <w:sz w:val="26"/>
        </w:rPr>
        <w:t>24.3 Interview questions</w:t>
      </w:r>
    </w:p>
    <w:p>
      <w:pPr>
        <w:pStyle w:val="ListBullet"/>
        <w:spacing w:after="80"/>
        <w:ind w:left="317" w:hanging="173"/>
      </w:pPr>
      <w:r>
        <w:rPr>
          <w:rFonts w:ascii="Carlito" w:hAnsi="Carlito"/>
        </w:rPr>
        <w:t>Walk me through the last vendor invoice you paid. What did you check before sending money?</w:t>
      </w:r>
    </w:p>
    <w:p>
      <w:pPr>
        <w:pStyle w:val="ListBullet"/>
        <w:spacing w:after="80"/>
        <w:ind w:left="317" w:hanging="173"/>
      </w:pPr>
      <w:r>
        <w:rPr>
          <w:rFonts w:ascii="Carlito" w:hAnsi="Carlito"/>
        </w:rPr>
        <w:t>Where do vendor payment instructions live and how do you verify a change?</w:t>
      </w:r>
    </w:p>
    <w:p>
      <w:pPr>
        <w:pStyle w:val="ListBullet"/>
        <w:spacing w:after="80"/>
        <w:ind w:left="317" w:hanging="173"/>
      </w:pPr>
      <w:r>
        <w:rPr>
          <w:rFonts w:ascii="Carlito" w:hAnsi="Carlito"/>
        </w:rPr>
        <w:t>Have you ever received a duplicate invoice or paid something twice?</w:t>
      </w:r>
    </w:p>
    <w:p>
      <w:pPr>
        <w:pStyle w:val="ListBullet"/>
        <w:spacing w:after="80"/>
        <w:ind w:left="317" w:hanging="173"/>
      </w:pPr>
      <w:r>
        <w:rPr>
          <w:rFonts w:ascii="Carlito" w:hAnsi="Carlito"/>
        </w:rPr>
        <w:t>When cash is tight, how do you decide what gets paid first?</w:t>
      </w:r>
    </w:p>
    <w:p>
      <w:pPr>
        <w:pStyle w:val="ListBullet"/>
        <w:spacing w:after="80"/>
        <w:ind w:left="317" w:hanging="173"/>
      </w:pPr>
      <w:r>
        <w:rPr>
          <w:rFonts w:ascii="Carlito" w:hAnsi="Carlito"/>
        </w:rPr>
        <w:t>Which evidence would you trust enough to let software pay without asking you?</w:t>
      </w:r>
    </w:p>
    <w:p>
      <w:pPr>
        <w:pStyle w:val="ListBullet"/>
        <w:spacing w:after="80"/>
        <w:ind w:left="317" w:hanging="173"/>
      </w:pPr>
      <w:r>
        <w:rPr>
          <w:rFonts w:ascii="Carlito" w:hAnsi="Carlito"/>
        </w:rPr>
        <w:t>What payment would you never allow an agent to make automatically?</w:t>
      </w:r>
    </w:p>
    <w:p>
      <w:pPr>
        <w:pStyle w:val="ListBullet"/>
        <w:spacing w:after="80"/>
        <w:ind w:left="317" w:hanging="173"/>
      </w:pPr>
      <w:r>
        <w:rPr>
          <w:rFonts w:ascii="Carlito" w:hAnsi="Carlito"/>
        </w:rPr>
        <w:t>What would make you keep this running after the hackathon?</w:t>
      </w:r>
    </w:p>
    <w:p>
      <w:pPr>
        <w:pStyle w:val="Heading1"/>
        <w:keepNext/>
        <w:spacing w:before="200" w:after="80"/>
      </w:pPr>
      <w:r>
        <w:rPr>
          <w:rFonts w:ascii="Carlito" w:hAnsi="Carlito"/>
          <w:b/>
          <w:color w:val="173F35"/>
          <w:sz w:val="36"/>
        </w:rPr>
        <w:t>25. Competitive Positioning - Bursar</w:t>
      </w:r>
    </w:p>
    <w:p>
      <w:pPr>
        <w:spacing w:after="100"/>
      </w:pPr>
      <w:r>
        <w:rPr>
          <w:rFonts w:ascii="Carlito" w:hAnsi="Carlito"/>
          <w:i w:val="0"/>
        </w:rPr>
        <w:t>Bursar is the clearest known adjacent Tameion competitor in the supplied materials. It is a job-scoped spending-control system for AI agent teams: shared budgets, delegation limits, approvals, idempotency, payee rules, audit logs and an Arc JobVault. It is technically strong and should be treated as a benchmark, not ignored. [S5]</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09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Capability</w:t>
            </w:r>
          </w:p>
        </w:tc>
        <w:tc>
          <w:tcPr>
            <w:tcW w:type="dxa" w:w="324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Bursar</w:t>
            </w:r>
          </w:p>
        </w:tc>
        <w:tc>
          <w:tcPr>
            <w:tcW w:type="dxa" w:w="345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Euthyna v1</w:t>
            </w:r>
          </w:p>
        </w:tc>
      </w:tr>
      <w:tr>
        <w:tc>
          <w:tcPr>
            <w:tcW w:type="dxa" w:w="309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Shared job budget across many agents</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strength</w:t>
            </w:r>
          </w:p>
        </w:tc>
        <w:tc>
          <w:tcPr>
            <w:tcW w:type="dxa" w:w="34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Not core</w:t>
            </w:r>
          </w:p>
        </w:tc>
      </w:tr>
      <w:tr>
        <w:tc>
          <w:tcPr>
            <w:tcW w:type="dxa" w:w="309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Per-agent/delegation limits</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strength</w:t>
            </w:r>
          </w:p>
        </w:tc>
        <w:tc>
          <w:tcPr>
            <w:tcW w:type="dxa" w:w="34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Out of scope</w:t>
            </w:r>
          </w:p>
        </w:tc>
      </w:tr>
      <w:tr>
        <w:tc>
          <w:tcPr>
            <w:tcW w:type="dxa" w:w="309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Payee allowlist / payment caps</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strength</w:t>
            </w:r>
          </w:p>
        </w:tc>
        <w:tc>
          <w:tcPr>
            <w:tcW w:type="dxa" w:w="34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Basic safety only</w:t>
            </w:r>
          </w:p>
        </w:tc>
      </w:tr>
      <w:tr>
        <w:tc>
          <w:tcPr>
            <w:tcW w:type="dxa" w:w="309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Human approval threshold</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strength</w:t>
            </w:r>
          </w:p>
        </w:tc>
        <w:tc>
          <w:tcPr>
            <w:tcW w:type="dxa" w:w="34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P1 safety control</w:t>
            </w:r>
          </w:p>
        </w:tc>
      </w:tr>
      <w:tr>
        <w:tc>
          <w:tcPr>
            <w:tcW w:type="dxa" w:w="309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Retry/idempotency</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strength at operation level</w:t>
            </w:r>
          </w:p>
        </w:tc>
        <w:tc>
          <w:tcPr>
            <w:tcW w:type="dxa" w:w="34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Required at business-obligation + settlement level</w:t>
            </w:r>
          </w:p>
        </w:tc>
      </w:tr>
      <w:tr>
        <w:tc>
          <w:tcPr>
            <w:tcW w:type="dxa" w:w="309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Audit chain / anchor</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strength</w:t>
            </w:r>
          </w:p>
        </w:tc>
        <w:tc>
          <w:tcPr>
            <w:tcW w:type="dxa" w:w="34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Receipt/event commitment, narrower</w:t>
            </w:r>
          </w:p>
        </w:tc>
      </w:tr>
      <w:tr>
        <w:tc>
          <w:tcPr>
            <w:tcW w:type="dxa" w:w="309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Invoice exists / is legitimate</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Not shown as core proof</w:t>
            </w:r>
          </w:p>
        </w:tc>
        <w:tc>
          <w:tcPr>
            <w:tcW w:type="dxa" w:w="34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w:t>
            </w:r>
          </w:p>
        </w:tc>
      </w:tr>
      <w:tr>
        <w:tc>
          <w:tcPr>
            <w:tcW w:type="dxa" w:w="309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PO/contract ↔ invoice match</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Not shown as core proof</w:t>
            </w:r>
          </w:p>
        </w:tc>
        <w:tc>
          <w:tcPr>
            <w:tcW w:type="dxa" w:w="34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w:t>
            </w:r>
          </w:p>
        </w:tc>
      </w:tr>
      <w:tr>
        <w:tc>
          <w:tcPr>
            <w:tcW w:type="dxa" w:w="309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Delivery/acceptance proof</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Not shown as core proof</w:t>
            </w:r>
          </w:p>
        </w:tc>
        <w:tc>
          <w:tcPr>
            <w:tcW w:type="dxa" w:w="34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w:t>
            </w:r>
          </w:p>
        </w:tc>
      </w:tr>
      <w:tr>
        <w:tc>
          <w:tcPr>
            <w:tcW w:type="dxa" w:w="309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 payout continuity</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Not shown as core proof</w:t>
            </w:r>
          </w:p>
        </w:tc>
        <w:tc>
          <w:tcPr>
            <w:tcW w:type="dxa" w:w="34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w:t>
            </w:r>
          </w:p>
        </w:tc>
      </w:tr>
      <w:tr>
        <w:tc>
          <w:tcPr>
            <w:tcW w:type="dxa" w:w="309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Cash-constrained AP prioritization</w:t>
            </w:r>
          </w:p>
        </w:tc>
        <w:tc>
          <w:tcPr>
            <w:tcW w:type="dxa" w:w="32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Not shown as core proof</w:t>
            </w:r>
          </w:p>
        </w:tc>
        <w:tc>
          <w:tcPr>
            <w:tcW w:type="dxa" w:w="34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agent behavior</w:t>
            </w:r>
          </w:p>
        </w:tc>
      </w:tr>
      <w:tr>
        <w:tc>
          <w:tcPr>
            <w:tcW w:type="dxa" w:w="309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Product thesis</w:t>
            </w:r>
          </w:p>
        </w:tc>
        <w:tc>
          <w:tcPr>
            <w:tcW w:type="dxa" w:w="32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Can the agent/team spend inside its envelope?</w:t>
            </w:r>
          </w:p>
        </w:tc>
        <w:tc>
          <w:tcPr>
            <w:tcW w:type="dxa" w:w="34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Does this business obligation deserve to become a payment?</w:t>
            </w:r>
          </w:p>
        </w:tc>
      </w:tr>
    </w:tbl>
    <w:p>
      <w:pPr>
        <w:spacing w:after="20"/>
      </w:pP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Competitive rule</w:t>
            </w:r>
          </w:p>
          <w:p>
            <w:pPr>
              <w:spacing w:after="0"/>
            </w:pPr>
            <w:r>
              <w:rPr>
                <w:rFonts w:ascii="Carlito" w:hAnsi="Carlito"/>
                <w:sz w:val="20"/>
              </w:rPr>
              <w:t>Do not copy Bursar’s strongest surface and call it innovation. Keep Euthyna’s contract minimal and spend engineering time on evidence truth, vendor continuity, obligation identity, and payment judgment.</w:t>
            </w:r>
          </w:p>
        </w:tc>
      </w:tr>
    </w:tbl>
    <w:p>
      <w:pPr>
        <w:spacing w:after="20"/>
      </w:pPr>
    </w:p>
    <w:p>
      <w:pPr>
        <w:pStyle w:val="Heading1"/>
        <w:keepNext/>
        <w:spacing w:before="200" w:after="80"/>
      </w:pPr>
      <w:r>
        <w:rPr>
          <w:rFonts w:ascii="Carlito" w:hAnsi="Carlito"/>
          <w:b/>
          <w:color w:val="173F35"/>
          <w:sz w:val="36"/>
        </w:rPr>
        <w:t>26. Demo Script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15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Time</w:t>
            </w:r>
          </w:p>
        </w:tc>
        <w:tc>
          <w:tcPr>
            <w:tcW w:type="dxa" w:w="223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Scene</w:t>
            </w:r>
          </w:p>
        </w:tc>
        <w:tc>
          <w:tcPr>
            <w:tcW w:type="dxa" w:w="640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What the judge must understand</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0:00-0:20</w:t>
            </w:r>
          </w:p>
        </w:tc>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Problem</w:t>
            </w:r>
          </w:p>
        </w:tc>
        <w:tc>
          <w:tcPr>
            <w:tcW w:type="dxa" w:w="64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budget-compliant payment can still be wrong. Euthyna proves the obligation before an agent can settle it.</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0:20-0:45</w:t>
            </w:r>
          </w:p>
        </w:tc>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Real business</w:t>
            </w:r>
          </w:p>
        </w:tc>
        <w:tc>
          <w:tcPr>
            <w:tcW w:type="dxa" w:w="64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Show one real pilot business, real redacted obligation, and current cash/reserve.</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0:45-1:20</w:t>
            </w:r>
          </w:p>
        </w:tc>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Agent intelligence</w:t>
            </w:r>
          </w:p>
        </w:tc>
        <w:tc>
          <w:tcPr>
            <w:tcW w:type="dxa" w:w="64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Three VERIFIED obligations compete for cash. Agent chooses PAY_NOW/SCHEDULE and explains due risk, discount and criticality.</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1:20-1:50</w:t>
            </w:r>
          </w:p>
        </w:tc>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Witness proof</w:t>
            </w:r>
          </w:p>
        </w:tc>
        <w:tc>
          <w:tcPr>
            <w:tcW w:type="dxa" w:w="64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Open selected obligation; show invoice/agreement/delivery matches and current vendor destination. Verdict = VERIFIED.</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1:50-2:10</w:t>
            </w:r>
          </w:p>
        </w:tc>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 settlement</w:t>
            </w:r>
          </w:p>
        </w:tc>
        <w:tc>
          <w:tcPr>
            <w:tcW w:type="dxa" w:w="64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Run authorization/simulation, submit USDC payment, open Arc explorer transaction and receipt.</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2:10-2:35</w:t>
            </w:r>
          </w:p>
        </w:tc>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Adversarial case</w:t>
            </w:r>
          </w:p>
        </w:tc>
        <w:tc>
          <w:tcPr>
            <w:tcW w:type="dxa" w:w="64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Changed payout destination or duplicate invoice. Witness returns HOLD/REJECT; no transaction is prepared.</w:t>
            </w:r>
          </w:p>
        </w:tc>
      </w:tr>
      <w:tr>
        <w:tc>
          <w:tcPr>
            <w:tcW w:type="dxa" w:w="115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2:35-2:52</w:t>
            </w:r>
          </w:p>
        </w:tc>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Metrics</w:t>
            </w:r>
          </w:p>
        </w:tc>
        <w:tc>
          <w:tcPr>
            <w:tcW w:type="dxa" w:w="64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Businesses, real obligations, USDC volume, autonomous settlements, escalations, duplicate catches.</w:t>
            </w:r>
          </w:p>
        </w:tc>
      </w:tr>
      <w:tr>
        <w:tc>
          <w:tcPr>
            <w:tcW w:type="dxa" w:w="115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2:52-3:00</w:t>
            </w:r>
          </w:p>
        </w:tc>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Close</w:t>
            </w:r>
          </w:p>
        </w:tc>
        <w:tc>
          <w:tcPr>
            <w:tcW w:type="dxa" w:w="64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“Agent decides. Euthyna proves the obligation. Arc settles.”</w:t>
            </w:r>
          </w:p>
        </w:tc>
      </w:tr>
    </w:tbl>
    <w:p>
      <w:pPr>
        <w:spacing w:after="20"/>
      </w:pPr>
    </w:p>
    <w:p>
      <w:pPr>
        <w:pStyle w:val="Heading2"/>
        <w:keepNext/>
        <w:spacing w:before="120" w:after="80"/>
      </w:pPr>
      <w:r>
        <w:rPr>
          <w:rFonts w:ascii="Carlito" w:hAnsi="Carlito"/>
          <w:b/>
          <w:color w:val="17211E"/>
          <w:sz w:val="26"/>
        </w:rPr>
        <w:t>26.1 Demo honesty</w:t>
      </w:r>
    </w:p>
    <w:p>
      <w:pPr>
        <w:spacing w:after="100"/>
      </w:pPr>
      <w:r>
        <w:rPr>
          <w:rFonts w:ascii="Carlito" w:hAnsi="Carlito"/>
          <w:i w:val="0"/>
        </w:rPr>
        <w:t>Real pilot flows and adversarial test scenes must be visually labeled. Never count a deliberately injected duplicate or wallet-change attack as real traction. The strength of the demo is that both real settlement and safety behavior are independently visible.</w:t>
      </w:r>
    </w:p>
    <w:p>
      <w:pPr>
        <w:pStyle w:val="Heading1"/>
        <w:keepNext/>
        <w:spacing w:before="200" w:after="80"/>
      </w:pPr>
      <w:r>
        <w:rPr>
          <w:rFonts w:ascii="Carlito" w:hAnsi="Carlito"/>
          <w:b/>
          <w:color w:val="173F35"/>
          <w:sz w:val="36"/>
        </w:rPr>
        <w:t>27. Testing Strategy</w:t>
      </w:r>
    </w:p>
    <w:p>
      <w:pPr>
        <w:pStyle w:val="Heading2"/>
        <w:keepNext/>
        <w:spacing w:before="120" w:after="80"/>
      </w:pPr>
      <w:r>
        <w:rPr>
          <w:rFonts w:ascii="Carlito" w:hAnsi="Carlito"/>
          <w:b/>
          <w:color w:val="17211E"/>
          <w:sz w:val="26"/>
        </w:rPr>
        <w:t>27.1 Unit tests</w:t>
      </w:r>
    </w:p>
    <w:p>
      <w:pPr>
        <w:pStyle w:val="ListBullet"/>
        <w:spacing w:after="80"/>
        <w:ind w:left="317" w:hanging="173"/>
      </w:pPr>
      <w:r>
        <w:rPr>
          <w:rFonts w:ascii="Carlito" w:hAnsi="Carlito"/>
        </w:rPr>
        <w:t>Canonical invoice/obligation fingerprinting.</w:t>
      </w:r>
    </w:p>
    <w:p>
      <w:pPr>
        <w:pStyle w:val="ListBullet"/>
        <w:spacing w:after="80"/>
        <w:ind w:left="317" w:hanging="173"/>
      </w:pPr>
      <w:r>
        <w:rPr>
          <w:rFonts w:ascii="Carlito" w:hAnsi="Carlito"/>
        </w:rPr>
        <w:t>Currency/amount normalization and integer arithmetic.</w:t>
      </w:r>
    </w:p>
    <w:p>
      <w:pPr>
        <w:pStyle w:val="ListBullet"/>
        <w:spacing w:after="80"/>
        <w:ind w:left="317" w:hanging="173"/>
      </w:pPr>
      <w:r>
        <w:rPr>
          <w:rFonts w:ascii="Carlito" w:hAnsi="Carlito"/>
        </w:rPr>
        <w:t>Each W01-W10 witness check, including exact reason code.</w:t>
      </w:r>
    </w:p>
    <w:p>
      <w:pPr>
        <w:pStyle w:val="ListBullet"/>
        <w:spacing w:after="80"/>
        <w:ind w:left="317" w:hanging="173"/>
      </w:pPr>
      <w:r>
        <w:rPr>
          <w:rFonts w:ascii="Carlito" w:hAnsi="Carlito"/>
        </w:rPr>
        <w:t>Vendor version transitions and destination-change holds.</w:t>
      </w:r>
    </w:p>
    <w:p>
      <w:pPr>
        <w:pStyle w:val="ListBullet"/>
        <w:spacing w:after="80"/>
        <w:ind w:left="317" w:hanging="173"/>
      </w:pPr>
      <w:r>
        <w:rPr>
          <w:rFonts w:ascii="Carlito" w:hAnsi="Carlito"/>
        </w:rPr>
        <w:t>Payment-plan validator and reserve calculations.</w:t>
      </w:r>
    </w:p>
    <w:p>
      <w:pPr>
        <w:pStyle w:val="ListBullet"/>
        <w:spacing w:after="80"/>
        <w:ind w:left="317" w:hanging="173"/>
      </w:pPr>
      <w:r>
        <w:rPr>
          <w:rFonts w:ascii="Carlito" w:hAnsi="Carlito"/>
        </w:rPr>
        <w:t>Receipt canonicalization/hash.</w:t>
      </w:r>
    </w:p>
    <w:p>
      <w:pPr>
        <w:pStyle w:val="Heading2"/>
        <w:keepNext/>
        <w:spacing w:before="120" w:after="80"/>
      </w:pPr>
      <w:r>
        <w:rPr>
          <w:rFonts w:ascii="Carlito" w:hAnsi="Carlito"/>
          <w:b/>
          <w:color w:val="17211E"/>
          <w:sz w:val="26"/>
        </w:rPr>
        <w:t>27.2 Contract / invariant tests</w:t>
      </w:r>
    </w:p>
    <w:p>
      <w:pPr>
        <w:pStyle w:val="ListBullet"/>
        <w:spacing w:after="80"/>
        <w:ind w:left="317" w:hanging="173"/>
      </w:pPr>
      <w:r>
        <w:rPr>
          <w:rFonts w:ascii="Carlito" w:hAnsi="Carlito"/>
        </w:rPr>
        <w:t>Fuzz: obligation can settle at most once across arbitrary call sequences.</w:t>
      </w:r>
    </w:p>
    <w:p>
      <w:pPr>
        <w:pStyle w:val="ListBullet"/>
        <w:spacing w:after="80"/>
        <w:ind w:left="317" w:hanging="173"/>
      </w:pPr>
      <w:r>
        <w:rPr>
          <w:rFonts w:ascii="Carlito" w:hAnsi="Carlito"/>
        </w:rPr>
        <w:t>Fuzz: released payee must equal current vendor destination and attested payee.</w:t>
      </w:r>
    </w:p>
    <w:p>
      <w:pPr>
        <w:pStyle w:val="ListBullet"/>
        <w:spacing w:after="80"/>
        <w:ind w:left="317" w:hanging="173"/>
      </w:pPr>
      <w:r>
        <w:rPr>
          <w:rFonts w:ascii="Carlito" w:hAnsi="Carlito"/>
        </w:rPr>
        <w:t>Fuzz: amount/token must equal signed attestation.</w:t>
      </w:r>
    </w:p>
    <w:p>
      <w:pPr>
        <w:pStyle w:val="ListBullet"/>
        <w:spacing w:after="80"/>
        <w:ind w:left="317" w:hanging="173"/>
      </w:pPr>
      <w:r>
        <w:rPr>
          <w:rFonts w:ascii="Carlito" w:hAnsi="Carlito"/>
        </w:rPr>
        <w:t>Old vendorVersion or policyVersion always reverts.</w:t>
      </w:r>
    </w:p>
    <w:p>
      <w:pPr>
        <w:pStyle w:val="ListBullet"/>
        <w:spacing w:after="80"/>
        <w:ind w:left="317" w:hanging="173"/>
      </w:pPr>
      <w:r>
        <w:rPr>
          <w:rFonts w:ascii="Carlito" w:hAnsi="Carlito"/>
        </w:rPr>
        <w:t>Expired/invalid witness signature always reverts.</w:t>
      </w:r>
    </w:p>
    <w:p>
      <w:pPr>
        <w:pStyle w:val="ListBullet"/>
        <w:spacing w:after="80"/>
        <w:ind w:left="317" w:hanging="173"/>
      </w:pPr>
      <w:r>
        <w:rPr>
          <w:rFonts w:ascii="Carlito" w:hAnsi="Carlito"/>
        </w:rPr>
        <w:t>Paused vault never releases.</w:t>
      </w:r>
    </w:p>
    <w:p>
      <w:pPr>
        <w:pStyle w:val="ListBullet"/>
        <w:spacing w:after="80"/>
        <w:ind w:left="317" w:hanging="173"/>
      </w:pPr>
      <w:r>
        <w:rPr>
          <w:rFonts w:ascii="Carlito" w:hAnsi="Carlito"/>
        </w:rPr>
        <w:t>Owner approval signature cannot be replayed for another obligation or policy version.</w:t>
      </w:r>
    </w:p>
    <w:p>
      <w:pPr>
        <w:pStyle w:val="ListBullet"/>
        <w:spacing w:after="80"/>
        <w:ind w:left="317" w:hanging="173"/>
      </w:pPr>
      <w:r>
        <w:rPr>
          <w:rFonts w:ascii="Carlito" w:hAnsi="Carlito"/>
        </w:rPr>
        <w:t>No raw evidence payload is stored on-chain.</w:t>
      </w:r>
    </w:p>
    <w:p>
      <w:pPr>
        <w:pStyle w:val="Heading2"/>
        <w:keepNext/>
        <w:spacing w:before="120" w:after="80"/>
      </w:pPr>
      <w:r>
        <w:rPr>
          <w:rFonts w:ascii="Carlito" w:hAnsi="Carlito"/>
          <w:b/>
          <w:color w:val="17211E"/>
          <w:sz w:val="26"/>
        </w:rPr>
        <w:t>27.3 Integration tests</w:t>
      </w:r>
    </w:p>
    <w:p>
      <w:pPr>
        <w:pStyle w:val="ListBullet"/>
        <w:spacing w:after="80"/>
        <w:ind w:left="317" w:hanging="173"/>
      </w:pPr>
      <w:r>
        <w:rPr>
          <w:rFonts w:ascii="Carlito" w:hAnsi="Carlito"/>
        </w:rPr>
        <w:t>Invoice + agreement + delivery -&gt; VERIFIED -&gt; attestation -&gt; Arc settlement.</w:t>
      </w:r>
    </w:p>
    <w:p>
      <w:pPr>
        <w:pStyle w:val="ListBullet"/>
        <w:spacing w:after="80"/>
        <w:ind w:left="317" w:hanging="173"/>
      </w:pPr>
      <w:r>
        <w:rPr>
          <w:rFonts w:ascii="Carlito" w:hAnsi="Carlito"/>
        </w:rPr>
        <w:t>Duplicate artifact -&gt; existing obligation -&gt; no second settlement.</w:t>
      </w:r>
    </w:p>
    <w:p>
      <w:pPr>
        <w:pStyle w:val="ListBullet"/>
        <w:spacing w:after="80"/>
        <w:ind w:left="317" w:hanging="173"/>
      </w:pPr>
      <w:r>
        <w:rPr>
          <w:rFonts w:ascii="Carlito" w:hAnsi="Carlito"/>
        </w:rPr>
        <w:t>Changed vendor destination -&gt; HOLD -&gt; owner reverify -&gt; new version -&gt; successful re-verification.</w:t>
      </w:r>
    </w:p>
    <w:p>
      <w:pPr>
        <w:pStyle w:val="ListBullet"/>
        <w:spacing w:after="80"/>
        <w:ind w:left="317" w:hanging="173"/>
      </w:pPr>
      <w:r>
        <w:rPr>
          <w:rFonts w:ascii="Carlito" w:hAnsi="Carlito"/>
        </w:rPr>
        <w:t>Agent plan with insufficient reserve -&gt; deterministic validator rejects/adjusts before attestation.</w:t>
      </w:r>
    </w:p>
    <w:p>
      <w:pPr>
        <w:pStyle w:val="ListBullet"/>
        <w:spacing w:after="80"/>
        <w:ind w:left="317" w:hanging="173"/>
      </w:pPr>
      <w:r>
        <w:rPr>
          <w:rFonts w:ascii="Carlito" w:hAnsi="Carlito"/>
        </w:rPr>
        <w:t>Worker crash after transaction broadcast -&gt; reconciliation observes chain state and never repays.</w:t>
      </w:r>
    </w:p>
    <w:p>
      <w:pPr>
        <w:pStyle w:val="ListBullet"/>
        <w:spacing w:after="80"/>
        <w:ind w:left="317" w:hanging="173"/>
      </w:pPr>
      <w:r>
        <w:rPr>
          <w:rFonts w:ascii="Carlito" w:hAnsi="Carlito"/>
        </w:rPr>
        <w:t>Aomi/local simulation failure -&gt; no signing/broadcast.</w:t>
      </w:r>
    </w:p>
    <w:p>
      <w:pPr>
        <w:pStyle w:val="Heading2"/>
        <w:keepNext/>
        <w:spacing w:before="120" w:after="80"/>
      </w:pPr>
      <w:r>
        <w:rPr>
          <w:rFonts w:ascii="Carlito" w:hAnsi="Carlito"/>
          <w:b/>
          <w:color w:val="17211E"/>
          <w:sz w:val="26"/>
        </w:rPr>
        <w:t>27.4 Adversarial fixtures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4608"/>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Fixture</w:t>
            </w:r>
          </w:p>
        </w:tc>
        <w:tc>
          <w:tcPr>
            <w:tcW w:type="dxa" w:w="518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Expected result</w:t>
            </w:r>
          </w:p>
        </w:tc>
      </w:tr>
      <w:tr>
        <w:tc>
          <w:tcPr>
            <w:tcW w:type="dxa" w:w="46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 prompt-injection text</w:t>
            </w:r>
          </w:p>
        </w:tc>
        <w:tc>
          <w:tcPr>
            <w:tcW w:type="dxa" w:w="518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Ignored as instruction; parsed as data only.</w:t>
            </w:r>
          </w:p>
        </w:tc>
      </w:tr>
      <w:tr>
        <w:tc>
          <w:tcPr>
            <w:tcW w:type="dxa" w:w="46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Same amount / wrong vendor</w:t>
            </w:r>
          </w:p>
        </w:tc>
        <w:tc>
          <w:tcPr>
            <w:tcW w:type="dxa" w:w="518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HOLD/REJECT vendor mismatch.</w:t>
            </w:r>
          </w:p>
        </w:tc>
      </w:tr>
      <w:tr>
        <w:tc>
          <w:tcPr>
            <w:tcW w:type="dxa" w:w="46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Same invoice with different file hash</w:t>
            </w:r>
          </w:p>
        </w:tc>
        <w:tc>
          <w:tcPr>
            <w:tcW w:type="dxa" w:w="518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Duplicate by canonical fingerprint.</w:t>
            </w:r>
          </w:p>
        </w:tc>
      </w:tr>
      <w:tr>
        <w:tc>
          <w:tcPr>
            <w:tcW w:type="dxa" w:w="46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New payout wallet in invoice</w:t>
            </w:r>
          </w:p>
        </w:tc>
        <w:tc>
          <w:tcPr>
            <w:tcW w:type="dxa" w:w="518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 destination changed.</w:t>
            </w:r>
          </w:p>
        </w:tc>
      </w:tr>
      <w:tr>
        <w:tc>
          <w:tcPr>
            <w:tcW w:type="dxa" w:w="46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 matches but no delivery proof</w:t>
            </w:r>
          </w:p>
        </w:tc>
        <w:tc>
          <w:tcPr>
            <w:tcW w:type="dxa" w:w="518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HOLD delivery unverified.</w:t>
            </w:r>
          </w:p>
        </w:tc>
      </w:tr>
      <w:tr>
        <w:tc>
          <w:tcPr>
            <w:tcW w:type="dxa" w:w="46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Model changes amount in plan</w:t>
            </w:r>
          </w:p>
        </w:tc>
        <w:tc>
          <w:tcPr>
            <w:tcW w:type="dxa" w:w="518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Plan validator rejects.</w:t>
            </w:r>
          </w:p>
        </w:tc>
      </w:tr>
      <w:tr>
        <w:tc>
          <w:tcPr>
            <w:tcW w:type="dxa" w:w="4608"/>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Stale signed attestation after vendor update</w:t>
            </w:r>
          </w:p>
        </w:tc>
        <w:tc>
          <w:tcPr>
            <w:tcW w:type="dxa" w:w="518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Contract revert.</w:t>
            </w:r>
          </w:p>
        </w:tc>
      </w:tr>
      <w:tr>
        <w:tc>
          <w:tcPr>
            <w:tcW w:type="dxa" w:w="4608"/>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Replay after settled tx</w:t>
            </w:r>
          </w:p>
        </w:tc>
        <w:tc>
          <w:tcPr>
            <w:tcW w:type="dxa" w:w="518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Contract revert; UI shows original settlement.</w:t>
            </w:r>
          </w:p>
        </w:tc>
      </w:tr>
    </w:tbl>
    <w:p>
      <w:pPr>
        <w:spacing w:after="20"/>
      </w:pPr>
    </w:p>
    <w:p>
      <w:pPr>
        <w:pStyle w:val="Heading1"/>
        <w:keepNext/>
        <w:spacing w:before="200" w:after="80"/>
      </w:pPr>
      <w:r>
        <w:rPr>
          <w:rFonts w:ascii="Carlito" w:hAnsi="Carlito"/>
          <w:b/>
          <w:color w:val="173F35"/>
          <w:sz w:val="36"/>
        </w:rPr>
        <w:t>28. Implementation Plan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224"/>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Date</w:t>
            </w:r>
          </w:p>
        </w:tc>
        <w:tc>
          <w:tcPr>
            <w:tcW w:type="dxa" w:w="525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Build / product objective</w:t>
            </w:r>
          </w:p>
        </w:tc>
        <w:tc>
          <w:tcPr>
            <w:tcW w:type="dxa" w:w="331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Traction objective</w:t>
            </w:r>
          </w:p>
        </w:tc>
      </w:tr>
      <w:tr>
        <w:tc>
          <w:tcPr>
            <w:tcW w:type="dxa" w:w="12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Sep 29</w:t>
            </w:r>
          </w:p>
        </w:tc>
        <w:tc>
          <w:tcPr>
            <w:tcW w:type="dxa" w:w="52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PRD lock; repo scaffold; schema; contract interface; public landing skeleton.</w:t>
            </w:r>
          </w:p>
        </w:tc>
        <w:tc>
          <w:tcPr>
            <w:tcW w:type="dxa" w:w="33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Contact first 5 potential design partners; book 3 calls.</w:t>
            </w:r>
          </w:p>
        </w:tc>
      </w:tr>
      <w:tr>
        <w:tc>
          <w:tcPr>
            <w:tcW w:type="dxa" w:w="12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Sep 30</w:t>
            </w:r>
          </w:p>
        </w:tc>
        <w:tc>
          <w:tcPr>
            <w:tcW w:type="dxa" w:w="52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Vendor registry, evidence ingestion, canonical obligation IDs, witness W01-W06.</w:t>
            </w:r>
          </w:p>
        </w:tc>
        <w:tc>
          <w:tcPr>
            <w:tcW w:type="dxa" w:w="33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Secure first real business and collect first redacted evidence pack.</w:t>
            </w:r>
          </w:p>
        </w:tc>
      </w:tr>
      <w:tr>
        <w:tc>
          <w:tcPr>
            <w:tcW w:type="dxa" w:w="12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1</w:t>
            </w:r>
          </w:p>
        </w:tc>
        <w:tc>
          <w:tcPr>
            <w:tcW w:type="dxa" w:w="52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Destination continuity W07-W10; ObligationVault + Foundry tests.</w:t>
            </w:r>
          </w:p>
        </w:tc>
        <w:tc>
          <w:tcPr>
            <w:tcW w:type="dxa" w:w="33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Observe owner’s real payment-validation process; refine evidence rules.</w:t>
            </w:r>
          </w:p>
        </w:tc>
      </w:tr>
      <w:tr>
        <w:tc>
          <w:tcPr>
            <w:tcW w:type="dxa" w:w="12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2</w:t>
            </w:r>
          </w:p>
        </w:tc>
        <w:tc>
          <w:tcPr>
            <w:tcW w:type="dxa" w:w="52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Decision Agent + plan validator + constrained-cash scenario.</w:t>
            </w:r>
          </w:p>
        </w:tc>
        <w:tc>
          <w:tcPr>
            <w:tcW w:type="dxa" w:w="33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Run first real obligation in observe-only mode; collect agreement feedback.</w:t>
            </w:r>
          </w:p>
        </w:tc>
      </w:tr>
      <w:tr>
        <w:tc>
          <w:tcPr>
            <w:tcW w:type="dxa" w:w="12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3</w:t>
            </w:r>
          </w:p>
        </w:tc>
        <w:tc>
          <w:tcPr>
            <w:tcW w:type="dxa" w:w="52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Circle wallet integration; Arc testnet settlement; decision receipt.</w:t>
            </w:r>
          </w:p>
        </w:tc>
        <w:tc>
          <w:tcPr>
            <w:tcW w:type="dxa" w:w="33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First real low-value testnet payment / business workflow.</w:t>
            </w:r>
          </w:p>
        </w:tc>
      </w:tr>
      <w:tr>
        <w:tc>
          <w:tcPr>
            <w:tcW w:type="dxa" w:w="12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4</w:t>
            </w:r>
          </w:p>
        </w:tc>
        <w:tc>
          <w:tcPr>
            <w:tcW w:type="dxa" w:w="52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Dashboard metrics; holds/exceptions; duplicate and wallet-change adversarial demos.</w:t>
            </w:r>
          </w:p>
        </w:tc>
        <w:tc>
          <w:tcPr>
            <w:tcW w:type="dxa" w:w="33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Onboard second business if possible.</w:t>
            </w:r>
          </w:p>
        </w:tc>
      </w:tr>
      <w:tr>
        <w:tc>
          <w:tcPr>
            <w:tcW w:type="dxa" w:w="12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5</w:t>
            </w:r>
          </w:p>
        </w:tc>
        <w:tc>
          <w:tcPr>
            <w:tcW w:type="dxa" w:w="52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Optional Aomi/local simulation adapter; reconciliation worker.</w:t>
            </w:r>
          </w:p>
        </w:tc>
        <w:tc>
          <w:tcPr>
            <w:tcW w:type="dxa" w:w="33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Convert at least one pilot flow to repeatable use.</w:t>
            </w:r>
          </w:p>
        </w:tc>
      </w:tr>
      <w:tr>
        <w:tc>
          <w:tcPr>
            <w:tcW w:type="dxa" w:w="12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6</w:t>
            </w:r>
          </w:p>
        </w:tc>
        <w:tc>
          <w:tcPr>
            <w:tcW w:type="dxa" w:w="52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Mainnet deployment prep: addresses, token decimals, caps, pause, signer rotation.</w:t>
            </w:r>
          </w:p>
        </w:tc>
        <w:tc>
          <w:tcPr>
            <w:tcW w:type="dxa" w:w="33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Run one deliberately small mainnet payment if owner approves.</w:t>
            </w:r>
          </w:p>
        </w:tc>
      </w:tr>
      <w:tr>
        <w:tc>
          <w:tcPr>
            <w:tcW w:type="dxa" w:w="12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7</w:t>
            </w:r>
          </w:p>
        </w:tc>
        <w:tc>
          <w:tcPr>
            <w:tcW w:type="dxa" w:w="52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Security pass; fuzz/invariant tests; reviewer mode.</w:t>
            </w:r>
          </w:p>
        </w:tc>
        <w:tc>
          <w:tcPr>
            <w:tcW w:type="dxa" w:w="33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Collect second round of user feedback and human agreement data.</w:t>
            </w:r>
          </w:p>
        </w:tc>
      </w:tr>
      <w:tr>
        <w:tc>
          <w:tcPr>
            <w:tcW w:type="dxa" w:w="12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8</w:t>
            </w:r>
          </w:p>
        </w:tc>
        <w:tc>
          <w:tcPr>
            <w:tcW w:type="dxa" w:w="52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UX polish; docs; README; architecture/security diagrams.</w:t>
            </w:r>
          </w:p>
        </w:tc>
        <w:tc>
          <w:tcPr>
            <w:tcW w:type="dxa" w:w="33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Increase real obligation count and payment volume honestly.</w:t>
            </w:r>
          </w:p>
        </w:tc>
      </w:tr>
      <w:tr>
        <w:tc>
          <w:tcPr>
            <w:tcW w:type="dxa" w:w="1224"/>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9</w:t>
            </w:r>
          </w:p>
        </w:tc>
        <w:tc>
          <w:tcPr>
            <w:tcW w:type="dxa" w:w="525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Record draft &lt;3-min video; cold-review product without founder.</w:t>
            </w:r>
          </w:p>
        </w:tc>
        <w:tc>
          <w:tcPr>
            <w:tcW w:type="dxa" w:w="33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Final interviews; compile exact traction metrics and quotes with permission.</w:t>
            </w:r>
          </w:p>
        </w:tc>
      </w:tr>
      <w:tr>
        <w:tc>
          <w:tcPr>
            <w:tcW w:type="dxa" w:w="1224"/>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Oct 10</w:t>
            </w:r>
          </w:p>
        </w:tc>
        <w:tc>
          <w:tcPr>
            <w:tcW w:type="dxa" w:w="525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Final regression; public repo/live link; submit and update traction/product.</w:t>
            </w:r>
          </w:p>
        </w:tc>
        <w:tc>
          <w:tcPr>
            <w:tcW w:type="dxa" w:w="33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Freeze metrics snapshot; final submission before deadline.</w:t>
            </w:r>
          </w:p>
        </w:tc>
      </w:tr>
    </w:tbl>
    <w:p>
      <w:pPr>
        <w:spacing w:after="20"/>
      </w:pPr>
    </w:p>
    <w:p>
      <w:pPr>
        <w:pStyle w:val="Heading2"/>
        <w:keepNext/>
        <w:spacing w:before="120" w:after="80"/>
      </w:pPr>
      <w:r>
        <w:rPr>
          <w:rFonts w:ascii="Carlito" w:hAnsi="Carlito"/>
          <w:b/>
          <w:color w:val="17211E"/>
          <w:sz w:val="26"/>
        </w:rPr>
        <w:t>28.1 Recommended repository structure</w:t>
      </w:r>
    </w:p>
    <w:p>
      <w:pPr>
        <w:spacing w:after="40"/>
      </w:pPr>
      <w:r>
        <w:rPr>
          <w:rFonts w:ascii="Carlito" w:hAnsi="Carlito"/>
          <w:b/>
          <w:color w:val="173F35"/>
          <w:sz w:val="19"/>
        </w:rPr>
        <w:t>Repository layout</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euthyna/</w:t>
            </w:r>
            <w:r>
              <w:br/>
            </w:r>
            <w:r>
              <w:rPr>
                <w:rFonts w:ascii="Liberation Mono" w:hAnsi="Liberation Mono"/>
                <w:color w:val="26302D"/>
                <w:sz w:val="15"/>
              </w:rPr>
              <w:t>├─ apps/</w:t>
            </w:r>
            <w:r>
              <w:br/>
            </w:r>
            <w:r>
              <w:rPr>
                <w:rFonts w:ascii="Liberation Mono" w:hAnsi="Liberation Mono"/>
                <w:color w:val="26302D"/>
                <w:sz w:val="15"/>
              </w:rPr>
              <w:t>│  ├─ web/              # reviewer + owner UI</w:t>
            </w:r>
            <w:r>
              <w:br/>
            </w:r>
            <w:r>
              <w:rPr>
                <w:rFonts w:ascii="Liberation Mono" w:hAnsi="Liberation Mono"/>
                <w:color w:val="26302D"/>
                <w:sz w:val="15"/>
              </w:rPr>
              <w:t>│  ├─ api/              # orchestration / authenticated routes</w:t>
            </w:r>
            <w:r>
              <w:br/>
            </w:r>
            <w:r>
              <w:rPr>
                <w:rFonts w:ascii="Liberation Mono" w:hAnsi="Liberation Mono"/>
                <w:color w:val="26302D"/>
                <w:sz w:val="15"/>
              </w:rPr>
              <w:t>│  └─ worker/           # ingestion, reconciliation, scheduled plans</w:t>
            </w:r>
            <w:r>
              <w:br/>
            </w:r>
            <w:r>
              <w:rPr>
                <w:rFonts w:ascii="Liberation Mono" w:hAnsi="Liberation Mono"/>
                <w:color w:val="26302D"/>
                <w:sz w:val="15"/>
              </w:rPr>
              <w:t>├─ packages/</w:t>
            </w:r>
            <w:r>
              <w:br/>
            </w:r>
            <w:r>
              <w:rPr>
                <w:rFonts w:ascii="Liberation Mono" w:hAnsi="Liberation Mono"/>
                <w:color w:val="26302D"/>
                <w:sz w:val="15"/>
              </w:rPr>
              <w:t>│  ├─ evidence/         # parsers, provenance, canonicalization</w:t>
            </w:r>
            <w:r>
              <w:br/>
            </w:r>
            <w:r>
              <w:rPr>
                <w:rFonts w:ascii="Liberation Mono" w:hAnsi="Liberation Mono"/>
                <w:color w:val="26302D"/>
                <w:sz w:val="15"/>
              </w:rPr>
              <w:t>│  ├─ witness/          # W01-W10 deterministic verifier + signer</w:t>
            </w:r>
            <w:r>
              <w:br/>
            </w:r>
            <w:r>
              <w:rPr>
                <w:rFonts w:ascii="Liberation Mono" w:hAnsi="Liberation Mono"/>
                <w:color w:val="26302D"/>
                <w:sz w:val="15"/>
              </w:rPr>
              <w:t>│  ├─ planner/          # agent tools, structured plan, validator</w:t>
            </w:r>
            <w:r>
              <w:br/>
            </w:r>
            <w:r>
              <w:rPr>
                <w:rFonts w:ascii="Liberation Mono" w:hAnsi="Liberation Mono"/>
                <w:color w:val="26302D"/>
                <w:sz w:val="15"/>
              </w:rPr>
              <w:t>│  ├─ chain/            # Arc/Circle/Aomi adapters</w:t>
            </w:r>
            <w:r>
              <w:br/>
            </w:r>
            <w:r>
              <w:rPr>
                <w:rFonts w:ascii="Liberation Mono" w:hAnsi="Liberation Mono"/>
                <w:color w:val="26302D"/>
                <w:sz w:val="15"/>
              </w:rPr>
              <w:t>│  ├─ receipts/         # canonical receipts + hashing</w:t>
            </w:r>
            <w:r>
              <w:br/>
            </w:r>
            <w:r>
              <w:rPr>
                <w:rFonts w:ascii="Liberation Mono" w:hAnsi="Liberation Mono"/>
                <w:color w:val="26302D"/>
                <w:sz w:val="15"/>
              </w:rPr>
              <w:t>│  └─ db/               # schema + migrations</w:t>
            </w:r>
            <w:r>
              <w:br/>
            </w:r>
            <w:r>
              <w:rPr>
                <w:rFonts w:ascii="Liberation Mono" w:hAnsi="Liberation Mono"/>
                <w:color w:val="26302D"/>
                <w:sz w:val="15"/>
              </w:rPr>
              <w:t>├─ contracts/</w:t>
            </w:r>
            <w:r>
              <w:br/>
            </w:r>
            <w:r>
              <w:rPr>
                <w:rFonts w:ascii="Liberation Mono" w:hAnsi="Liberation Mono"/>
                <w:color w:val="26302D"/>
                <w:sz w:val="15"/>
              </w:rPr>
              <w:t>│  ├─ src/ObligationVault.sol</w:t>
            </w:r>
            <w:r>
              <w:br/>
            </w:r>
            <w:r>
              <w:rPr>
                <w:rFonts w:ascii="Liberation Mono" w:hAnsi="Liberation Mono"/>
                <w:color w:val="26302D"/>
                <w:sz w:val="15"/>
              </w:rPr>
              <w:t>│  ├─ test/</w:t>
            </w:r>
            <w:r>
              <w:br/>
            </w:r>
            <w:r>
              <w:rPr>
                <w:rFonts w:ascii="Liberation Mono" w:hAnsi="Liberation Mono"/>
                <w:color w:val="26302D"/>
                <w:sz w:val="15"/>
              </w:rPr>
              <w:t>│  └─ script/</w:t>
            </w:r>
            <w:r>
              <w:br/>
            </w:r>
            <w:r>
              <w:rPr>
                <w:rFonts w:ascii="Liberation Mono" w:hAnsi="Liberation Mono"/>
                <w:color w:val="26302D"/>
                <w:sz w:val="15"/>
              </w:rPr>
              <w:t>├─ docs/</w:t>
            </w:r>
            <w:r>
              <w:br/>
            </w:r>
            <w:r>
              <w:rPr>
                <w:rFonts w:ascii="Liberation Mono" w:hAnsi="Liberation Mono"/>
                <w:color w:val="26302D"/>
                <w:sz w:val="15"/>
              </w:rPr>
              <w:t>│  ├─ PRD.md</w:t>
            </w:r>
            <w:r>
              <w:br/>
            </w:r>
            <w:r>
              <w:rPr>
                <w:rFonts w:ascii="Liberation Mono" w:hAnsi="Liberation Mono"/>
                <w:color w:val="26302D"/>
                <w:sz w:val="15"/>
              </w:rPr>
              <w:t>│  ├─ THREAT_MODEL.md</w:t>
            </w:r>
            <w:r>
              <w:br/>
            </w:r>
            <w:r>
              <w:rPr>
                <w:rFonts w:ascii="Liberation Mono" w:hAnsi="Liberation Mono"/>
                <w:color w:val="26302D"/>
                <w:sz w:val="15"/>
              </w:rPr>
              <w:t>│  ├─ EVIDENCE_MODEL.md</w:t>
            </w:r>
            <w:r>
              <w:br/>
            </w:r>
            <w:r>
              <w:rPr>
                <w:rFonts w:ascii="Liberation Mono" w:hAnsi="Liberation Mono"/>
                <w:color w:val="26302D"/>
                <w:sz w:val="15"/>
              </w:rPr>
              <w:t>│  └─ DEMO.md</w:t>
            </w:r>
            <w:r>
              <w:br/>
            </w:r>
            <w:r>
              <w:rPr>
                <w:rFonts w:ascii="Liberation Mono" w:hAnsi="Liberation Mono"/>
                <w:color w:val="26302D"/>
                <w:sz w:val="15"/>
              </w:rPr>
              <w:t>└─ scripts/             # fixtures, deploy, seed, metrics export</w:t>
            </w:r>
          </w:p>
        </w:tc>
      </w:tr>
    </w:tbl>
    <w:p>
      <w:pPr>
        <w:spacing w:after="20"/>
      </w:pPr>
    </w:p>
    <w:p>
      <w:pPr>
        <w:pStyle w:val="Heading1"/>
        <w:keepNext/>
        <w:spacing w:before="200" w:after="80"/>
      </w:pPr>
      <w:r>
        <w:rPr>
          <w:rFonts w:ascii="Carlito" w:hAnsi="Carlito"/>
          <w:b/>
          <w:color w:val="173F35"/>
          <w:sz w:val="36"/>
        </w:rPr>
        <w:t>29. Acceptance Criteria / Definition of Done</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08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ID</w:t>
            </w:r>
          </w:p>
        </w:tc>
        <w:tc>
          <w:tcPr>
            <w:tcW w:type="dxa" w:w="871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Acceptance criterion</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AC-01</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real business can be created with reserve and approval policy.</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AC-02</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vendor can be registered with a verified payout destination and version.</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AC-03</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Invoice + agreement + delivery evidence can be ingested with provenance/hashes.</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AC-04</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legitimate evidence pack reaches VERIFIED with all witness checks inspectable.</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AC-05</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duplicate invoice reaches REJECT and cannot produce an attestation.</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AC-06</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 changed payout destination reaches HOLD until explicit re-verification; old attestation is unusable.</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AC-07</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Decision Agent can prioritize at least three VERIFIED obligations under constrained cash with structured rationale.</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AC-08</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Plan validator prevents a model from changing payee/amount or violating reserve/policy.</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AC-09</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Witness creates a short-lived typed attestation bound to evidence/vendor/policy versions.</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AC-10</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ObligationVault rejects invalid, stale, reused or mismatched authorization in tests.</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AC-11</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At least one end-to-end USDC settlement completes on Arc and is linked from the receipt.</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AC-12</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DecisionReceipt shows agent rationale, witness checks, policy, attestation and transaction.</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AC-13</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Live reviewer mode is usable without private credentials for read-only inspection.</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AC-14</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Metrics separate REAL from TEST flows and include Tameion-aligned fields.</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AC-15</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Public GitHub README explains product in &lt;90 seconds and documents security boundary.</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AC-16</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Demo video stays under 3 minutes and contains one real flow plus one clearly labeled adversarial safety proof.</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AC-17</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At least one real business has used the product during the event window.</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AC-18</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Submission uses current Arc Canteen environment/RPC configuration and records product/traction updates.</w:t>
            </w:r>
          </w:p>
        </w:tc>
      </w:tr>
    </w:tbl>
    <w:p>
      <w:pPr>
        <w:spacing w:after="20"/>
      </w:pPr>
    </w:p>
    <w:p>
      <w:pPr>
        <w:pStyle w:val="Heading1"/>
        <w:keepNext/>
        <w:spacing w:before="200" w:after="80"/>
      </w:pPr>
      <w:r>
        <w:rPr>
          <w:rFonts w:ascii="Carlito" w:hAnsi="Carlito"/>
          <w:b/>
          <w:color w:val="173F35"/>
          <w:sz w:val="36"/>
        </w:rPr>
        <w:t>30. Risks and Mitigations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Risk</w:t>
            </w:r>
          </w:p>
        </w:tc>
        <w:tc>
          <w:tcPr>
            <w:tcW w:type="dxa" w:w="252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Impact</w:t>
            </w:r>
          </w:p>
        </w:tc>
        <w:tc>
          <w:tcPr>
            <w:tcW w:type="dxa" w:w="504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5"/>
              </w:rPr>
              <w:t>Mitigation / decision trigger</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No real business traction</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Loses 30% judging leverage.</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Start outreach before feature polish; own/small business is acceptable if genuine; onboard 1 before P1 integrations.</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AP evidence too heterogeneous</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 stalls on parser edge cases.</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Constrain pilot to 1-2 document patterns; allow structured upload; parser is not innovation.</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Euthyna looks like Bursar</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Innovation diluted.</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Lead with proof-of-obligation, evidence truth and vendor continuity; keep budget controls minimal.</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Witness makes agent look non-agentic</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Agentic score weak.</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Demo cash-constrained prioritization as independent scene.</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Aomi API changes/unavailable</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Execution path breaks.</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Adapter interface + local fork fallback; never core dependency.</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Mainnet operational risk</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Real funds at risk.</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Low caps, pause, tiny amounts, contract/address checklist, testnet mirror.</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Privacy concern blocks pilot</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Business refuses document sharing.</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Off-chain storage, redaction, minimal fields, NDA/permission, hash commitments only.</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Too much scope</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Core incomplete by deadline.</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P0 freeze; no CCTP/EURC/x402/USYC unless real pilot forces it.</w:t>
            </w:r>
          </w:p>
        </w:tc>
      </w:tr>
      <w:tr>
        <w:tc>
          <w:tcPr>
            <w:tcW w:type="dxa" w:w="223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Model reasoning flaky</w:t>
            </w:r>
          </w:p>
        </w:tc>
        <w:tc>
          <w:tcPr>
            <w:tcW w:type="dxa" w:w="252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Inconsistent plan.</w:t>
            </w:r>
          </w:p>
        </w:tc>
        <w:tc>
          <w:tcPr>
            <w:tcW w:type="dxa" w:w="504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5"/>
              </w:rPr>
              <w:t>Structured tool-use, bounded action space, deterministic validator, low temperature, replay fixtures.</w:t>
            </w:r>
          </w:p>
        </w:tc>
      </w:tr>
      <w:tr>
        <w:tc>
          <w:tcPr>
            <w:tcW w:type="dxa" w:w="223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False HOLD rate high</w:t>
            </w:r>
          </w:p>
        </w:tc>
        <w:tc>
          <w:tcPr>
            <w:tcW w:type="dxa" w:w="252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User perceives product as manual.</w:t>
            </w:r>
          </w:p>
        </w:tc>
        <w:tc>
          <w:tcPr>
            <w:tcW w:type="dxa" w:w="504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5"/>
              </w:rPr>
              <w:t>Measure reason distribution; tune tolerance only from real user feedback, never silently loosen safety checks.</w:t>
            </w:r>
          </w:p>
        </w:tc>
      </w:tr>
    </w:tbl>
    <w:p>
      <w:pPr>
        <w:spacing w:after="20"/>
      </w:pPr>
    </w:p>
    <w:p>
      <w:pPr>
        <w:pStyle w:val="Heading1"/>
        <w:keepNext/>
        <w:spacing w:before="200" w:after="80"/>
      </w:pPr>
      <w:r>
        <w:rPr>
          <w:rFonts w:ascii="Carlito" w:hAnsi="Carlito"/>
          <w:b/>
          <w:color w:val="173F35"/>
          <w:sz w:val="36"/>
        </w:rPr>
        <w:t>31. Post-Hackathon Roadmap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7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Phase</w:t>
            </w:r>
          </w:p>
        </w:tc>
        <w:tc>
          <w:tcPr>
            <w:tcW w:type="dxa" w:w="7416"/>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Capabilities</w:t>
            </w:r>
          </w:p>
        </w:tc>
      </w:tr>
      <w:tr>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V1.1 - Better connectors</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Email/Drive/accounting connectors; ERP/QuickBooks/Xero-style adapters; richer vendor master sync.</w:t>
            </w:r>
          </w:p>
        </w:tc>
      </w:tr>
      <w:tr>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V1.2 - Receivables</w:t>
            </w:r>
          </w:p>
        </w:tc>
        <w:tc>
          <w:tcPr>
            <w:tcW w:type="dxa" w:w="74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Proof-of-receivable claims, reconciliation, collections prioritization.</w:t>
            </w:r>
          </w:p>
        </w:tc>
      </w:tr>
      <w:tr>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V1.3 - Multi-rail settlement</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CCTP, EURC/FX, approved cross-chain payout policies.</w:t>
            </w:r>
          </w:p>
        </w:tc>
      </w:tr>
      <w:tr>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V1.4 - Independent usage witness</w:t>
            </w:r>
          </w:p>
        </w:tc>
        <w:tc>
          <w:tcPr>
            <w:tcW w:type="dxa" w:w="74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SaaS seat/API metering and invoice reconciliation for recurring software spend.</w:t>
            </w:r>
          </w:p>
        </w:tc>
      </w:tr>
      <w:tr>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V1.5 - Privacy</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Confidential evidence execution / TEE or privacy-preserving attestation where justified by enterprise demand.</w:t>
            </w:r>
          </w:p>
        </w:tc>
      </w:tr>
      <w:tr>
        <w:tc>
          <w:tcPr>
            <w:tcW w:type="dxa" w:w="237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V2 - Multi-witness trust</w:t>
            </w:r>
          </w:p>
        </w:tc>
        <w:tc>
          <w:tcPr>
            <w:tcW w:type="dxa" w:w="7416"/>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Quorum / independent witness services, hardware-backed signer isolation, richer evidence attestations.</w:t>
            </w:r>
          </w:p>
        </w:tc>
      </w:tr>
      <w:tr>
        <w:tc>
          <w:tcPr>
            <w:tcW w:type="dxa" w:w="237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V2 - Enterprise controls</w:t>
            </w:r>
          </w:p>
        </w:tc>
        <w:tc>
          <w:tcPr>
            <w:tcW w:type="dxa" w:w="7416"/>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Role-based approvals, procurement workflows, accounting export, policy templates, SOC/security hardening.</w:t>
            </w:r>
          </w:p>
        </w:tc>
      </w:tr>
    </w:tbl>
    <w:p>
      <w:pPr>
        <w:spacing w:after="20"/>
      </w:pPr>
    </w:p>
    <w:p>
      <w:pPr>
        <w:pStyle w:val="Heading1"/>
        <w:keepNext/>
        <w:spacing w:before="200" w:after="80"/>
      </w:pPr>
      <w:r>
        <w:rPr>
          <w:rFonts w:ascii="Carlito" w:hAnsi="Carlito"/>
          <w:b/>
          <w:color w:val="173F35"/>
          <w:sz w:val="36"/>
        </w:rPr>
        <w:t>32. Out of Scope</w:t>
      </w:r>
    </w:p>
    <w:p>
      <w:pPr>
        <w:pStyle w:val="ListBullet"/>
        <w:spacing w:after="80"/>
        <w:ind w:left="317" w:hanging="173"/>
      </w:pPr>
      <w:r>
        <w:rPr>
          <w:rFonts w:ascii="Carlito" w:hAnsi="Carlito"/>
        </w:rPr>
        <w:t>General autonomous treasury allocation and yield optimization.</w:t>
      </w:r>
    </w:p>
    <w:p>
      <w:pPr>
        <w:pStyle w:val="ListBullet"/>
        <w:spacing w:after="80"/>
        <w:ind w:left="317" w:hanging="173"/>
      </w:pPr>
      <w:r>
        <w:rPr>
          <w:rFonts w:ascii="Carlito" w:hAnsi="Carlito"/>
        </w:rPr>
        <w:t>Investment, trading or market prediction.</w:t>
      </w:r>
    </w:p>
    <w:p>
      <w:pPr>
        <w:pStyle w:val="ListBullet"/>
        <w:spacing w:after="80"/>
        <w:ind w:left="317" w:hanging="173"/>
      </w:pPr>
      <w:r>
        <w:rPr>
          <w:rFonts w:ascii="Carlito" w:hAnsi="Carlito"/>
        </w:rPr>
        <w:t>Complete procurement lifecycle / RFQ marketplace.</w:t>
      </w:r>
    </w:p>
    <w:p>
      <w:pPr>
        <w:pStyle w:val="ListBullet"/>
        <w:spacing w:after="80"/>
        <w:ind w:left="317" w:hanging="173"/>
      </w:pPr>
      <w:r>
        <w:rPr>
          <w:rFonts w:ascii="Carlito" w:hAnsi="Carlito"/>
        </w:rPr>
        <w:t>Comprehensive sanctions screening and regulatory compliance engine.</w:t>
      </w:r>
    </w:p>
    <w:p>
      <w:pPr>
        <w:pStyle w:val="ListBullet"/>
        <w:spacing w:after="80"/>
        <w:ind w:left="317" w:hanging="173"/>
      </w:pPr>
      <w:r>
        <w:rPr>
          <w:rFonts w:ascii="Carlito" w:hAnsi="Carlito"/>
        </w:rPr>
        <w:t>Payroll and tax withholding.</w:t>
      </w:r>
    </w:p>
    <w:p>
      <w:pPr>
        <w:pStyle w:val="ListBullet"/>
        <w:spacing w:after="80"/>
        <w:ind w:left="317" w:hanging="173"/>
      </w:pPr>
      <w:r>
        <w:rPr>
          <w:rFonts w:ascii="Carlito" w:hAnsi="Carlito"/>
        </w:rPr>
        <w:t>Fiat bank transfer integrations during the hackathon.</w:t>
      </w:r>
    </w:p>
    <w:p>
      <w:pPr>
        <w:pStyle w:val="ListBullet"/>
        <w:spacing w:after="80"/>
        <w:ind w:left="317" w:hanging="173"/>
      </w:pPr>
      <w:r>
        <w:rPr>
          <w:rFonts w:ascii="Carlito" w:hAnsi="Carlito"/>
        </w:rPr>
        <w:t>New stablecoin issuance or custom payment token.</w:t>
      </w:r>
    </w:p>
    <w:p>
      <w:pPr>
        <w:pStyle w:val="ListBullet"/>
        <w:spacing w:after="80"/>
        <w:ind w:left="317" w:hanging="173"/>
      </w:pPr>
      <w:r>
        <w:rPr>
          <w:rFonts w:ascii="Carlito" w:hAnsi="Carlito"/>
        </w:rPr>
        <w:t>Universal agent identity / reputation protocol.</w:t>
      </w:r>
    </w:p>
    <w:p>
      <w:pPr>
        <w:pStyle w:val="ListBullet"/>
        <w:spacing w:after="80"/>
        <w:ind w:left="317" w:hanging="173"/>
      </w:pPr>
      <w:r>
        <w:rPr>
          <w:rFonts w:ascii="Carlito" w:hAnsi="Carlito"/>
        </w:rPr>
        <w:t>Full replacement for ERP/accounting software.</w:t>
      </w:r>
    </w:p>
    <w:p>
      <w:pPr>
        <w:pStyle w:val="ListBullet"/>
        <w:spacing w:after="80"/>
        <w:ind w:left="317" w:hanging="173"/>
      </w:pPr>
      <w:r>
        <w:rPr>
          <w:rFonts w:ascii="Carlito" w:hAnsi="Carlito"/>
        </w:rPr>
        <w:t>Unbounded autonomous access to a company treasury.</w:t>
      </w:r>
    </w:p>
    <w:p>
      <w:pPr>
        <w:pStyle w:val="Heading1"/>
        <w:keepNext/>
        <w:spacing w:before="200" w:after="80"/>
      </w:pPr>
      <w:r>
        <w:rPr>
          <w:rFonts w:ascii="Carlito" w:hAnsi="Carlito"/>
          <w:b/>
          <w:color w:val="173F35"/>
          <w:sz w:val="36"/>
        </w:rPr>
        <w:t>33. Open Questions and Change Control</w:t>
      </w:r>
    </w:p>
    <w:p>
      <w:pPr>
        <w:pStyle w:val="Heading2"/>
        <w:keepNext/>
        <w:spacing w:before="120" w:after="80"/>
      </w:pPr>
      <w:r>
        <w:rPr>
          <w:rFonts w:ascii="Carlito" w:hAnsi="Carlito"/>
          <w:b/>
          <w:color w:val="17211E"/>
          <w:sz w:val="26"/>
        </w:rPr>
        <w:t>33.1 Open questions that do not block build</w:t>
      </w:r>
    </w:p>
    <w:p>
      <w:pPr>
        <w:pStyle w:val="ListBullet"/>
        <w:spacing w:after="80"/>
        <w:ind w:left="317" w:hanging="173"/>
      </w:pPr>
      <w:r>
        <w:rPr>
          <w:rFonts w:ascii="Carlito" w:hAnsi="Carlito"/>
        </w:rPr>
        <w:t>Which exact real design partner will provide the first obligation and what document/evidence pattern do they use?</w:t>
      </w:r>
    </w:p>
    <w:p>
      <w:pPr>
        <w:pStyle w:val="ListBullet"/>
        <w:spacing w:after="80"/>
        <w:ind w:left="317" w:hanging="173"/>
      </w:pPr>
      <w:r>
        <w:rPr>
          <w:rFonts w:ascii="Carlito" w:hAnsi="Carlito"/>
        </w:rPr>
        <w:t>Will the first real settlement be testnet or a deliberately small mainnet payment?</w:t>
      </w:r>
    </w:p>
    <w:p>
      <w:pPr>
        <w:pStyle w:val="ListBullet"/>
        <w:spacing w:after="80"/>
        <w:ind w:left="317" w:hanging="173"/>
      </w:pPr>
      <w:r>
        <w:rPr>
          <w:rFonts w:ascii="Carlito" w:hAnsi="Carlito"/>
        </w:rPr>
        <w:t>Which Circle wallet mode is most reliable in the current Arc environment for the pilot?</w:t>
      </w:r>
    </w:p>
    <w:p>
      <w:pPr>
        <w:pStyle w:val="ListBullet"/>
        <w:spacing w:after="80"/>
        <w:ind w:left="317" w:hanging="173"/>
      </w:pPr>
      <w:r>
        <w:rPr>
          <w:rFonts w:ascii="Carlito" w:hAnsi="Carlito"/>
        </w:rPr>
        <w:t>Is Aomi Pipeline API sufficiently stable/available to include by Oct 5, or should local fork simulation remain the only implementation?</w:t>
      </w:r>
    </w:p>
    <w:p>
      <w:pPr>
        <w:pStyle w:val="ListBullet"/>
        <w:spacing w:after="80"/>
        <w:ind w:left="317" w:hanging="173"/>
      </w:pPr>
      <w:r>
        <w:rPr>
          <w:rFonts w:ascii="Carlito" w:hAnsi="Carlito"/>
        </w:rPr>
        <w:t>What tolerance rules are appropriate for the first design partner’s invoices (tax, rounding, partial delivery)?</w:t>
      </w:r>
    </w:p>
    <w:p>
      <w:pPr>
        <w:pStyle w:val="ListBullet"/>
        <w:spacing w:after="80"/>
        <w:ind w:left="317" w:hanging="173"/>
      </w:pPr>
      <w:r>
        <w:rPr>
          <w:rFonts w:ascii="Carlito" w:hAnsi="Carlito"/>
        </w:rPr>
        <w:t>Which evidence fields can be shown in public reviewer mode without exposing business-sensitive data?</w:t>
      </w:r>
    </w:p>
    <w:p>
      <w:pPr>
        <w:pStyle w:val="Heading2"/>
        <w:keepNext/>
        <w:spacing w:before="120" w:after="80"/>
      </w:pPr>
      <w:r>
        <w:rPr>
          <w:rFonts w:ascii="Carlito" w:hAnsi="Carlito"/>
          <w:b/>
          <w:color w:val="17211E"/>
          <w:sz w:val="26"/>
        </w:rPr>
        <w:t>33.2 Change-control rule</w:t>
      </w:r>
    </w:p>
    <w:p>
      <w:pPr>
        <w:spacing w:after="100"/>
      </w:pPr>
      <w:r>
        <w:rPr>
          <w:rFonts w:ascii="Carlito" w:hAnsi="Carlito"/>
          <w:i w:val="0"/>
        </w:rPr>
        <w:t>Any change that weakens one of the four core invariants — evidence before action, model advisory status, one obligation/one settlement, or current vendor destination — requires an explicit PRD amendment. P1/P2 features may be cut without changing the product thesis.</w:t>
      </w:r>
    </w:p>
    <w:p>
      <w:pPr>
        <w:pStyle w:val="Heading1"/>
        <w:keepNext/>
        <w:spacing w:before="200" w:after="80"/>
      </w:pPr>
      <w:r>
        <w:rPr>
          <w:rFonts w:ascii="Carlito" w:hAnsi="Carlito"/>
          <w:b/>
          <w:color w:val="173F35"/>
          <w:sz w:val="36"/>
        </w:rPr>
        <w:t>Appendix A. Example Schemas</w:t>
      </w:r>
    </w:p>
    <w:p>
      <w:pPr>
        <w:pStyle w:val="Heading2"/>
        <w:keepNext/>
        <w:spacing w:before="120" w:after="80"/>
      </w:pPr>
      <w:r>
        <w:rPr>
          <w:rFonts w:ascii="Carlito" w:hAnsi="Carlito"/>
          <w:b/>
          <w:color w:val="17211E"/>
          <w:sz w:val="26"/>
        </w:rPr>
        <w:t>A.1 EvidenceArtifact</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w:t>
            </w:r>
            <w:r>
              <w:br/>
            </w:r>
            <w:r>
              <w:rPr>
                <w:rFonts w:ascii="Liberation Mono" w:hAnsi="Liberation Mono"/>
                <w:color w:val="26302D"/>
                <w:sz w:val="15"/>
              </w:rPr>
              <w:t xml:space="preserve">  "artifact_id": "art_01...",</w:t>
            </w:r>
            <w:r>
              <w:br/>
            </w:r>
            <w:r>
              <w:rPr>
                <w:rFonts w:ascii="Liberation Mono" w:hAnsi="Liberation Mono"/>
                <w:color w:val="26302D"/>
                <w:sz w:val="15"/>
              </w:rPr>
              <w:t xml:space="preserve">  "business_id": "biz_...",</w:t>
            </w:r>
            <w:r>
              <w:br/>
            </w:r>
            <w:r>
              <w:rPr>
                <w:rFonts w:ascii="Liberation Mono" w:hAnsi="Liberation Mono"/>
                <w:color w:val="26302D"/>
                <w:sz w:val="15"/>
              </w:rPr>
              <w:t xml:space="preserve">  "type": "INVOICE",</w:t>
            </w:r>
            <w:r>
              <w:br/>
            </w:r>
            <w:r>
              <w:rPr>
                <w:rFonts w:ascii="Liberation Mono" w:hAnsi="Liberation Mono"/>
                <w:color w:val="26302D"/>
                <w:sz w:val="15"/>
              </w:rPr>
              <w:t xml:space="preserve">  "source": {"channel": "upload", "uri": "private://..."},</w:t>
            </w:r>
            <w:r>
              <w:br/>
            </w:r>
            <w:r>
              <w:rPr>
                <w:rFonts w:ascii="Liberation Mono" w:hAnsi="Liberation Mono"/>
                <w:color w:val="26302D"/>
                <w:sz w:val="15"/>
              </w:rPr>
              <w:t xml:space="preserve">  "content_hash": "sha256:...",</w:t>
            </w:r>
            <w:r>
              <w:br/>
            </w:r>
            <w:r>
              <w:rPr>
                <w:rFonts w:ascii="Liberation Mono" w:hAnsi="Liberation Mono"/>
                <w:color w:val="26302D"/>
                <w:sz w:val="15"/>
              </w:rPr>
              <w:t xml:space="preserve">  "parser": {"name": "pdf-text-v1", "version": "1.0"},</w:t>
            </w:r>
            <w:r>
              <w:br/>
            </w:r>
            <w:r>
              <w:rPr>
                <w:rFonts w:ascii="Liberation Mono" w:hAnsi="Liberation Mono"/>
                <w:color w:val="26302D"/>
                <w:sz w:val="15"/>
              </w:rPr>
              <w:t xml:space="preserve">  "fields": {</w:t>
            </w:r>
            <w:r>
              <w:br/>
            </w:r>
            <w:r>
              <w:rPr>
                <w:rFonts w:ascii="Liberation Mono" w:hAnsi="Liberation Mono"/>
                <w:color w:val="26302D"/>
                <w:sz w:val="15"/>
              </w:rPr>
              <w:t xml:space="preserve">    "vendor_name": {"value": "Acme Ltd", "source_span": "...", "confidence": 0.99},</w:t>
            </w:r>
            <w:r>
              <w:br/>
            </w:r>
            <w:r>
              <w:rPr>
                <w:rFonts w:ascii="Liberation Mono" w:hAnsi="Liberation Mono"/>
                <w:color w:val="26302D"/>
                <w:sz w:val="15"/>
              </w:rPr>
              <w:t xml:space="preserve">    "invoice_number": {"value": "INV-1042", "source_span": "...", "confidence": 0.98},</w:t>
            </w:r>
            <w:r>
              <w:br/>
            </w:r>
            <w:r>
              <w:rPr>
                <w:rFonts w:ascii="Liberation Mono" w:hAnsi="Liberation Mono"/>
                <w:color w:val="26302D"/>
                <w:sz w:val="15"/>
              </w:rPr>
              <w:t xml:space="preserve">    "amount": {"value_minor": "420000000000000000000", "token": "USDC", "confidence": 0.99},</w:t>
            </w:r>
            <w:r>
              <w:br/>
            </w:r>
            <w:r>
              <w:rPr>
                <w:rFonts w:ascii="Liberation Mono" w:hAnsi="Liberation Mono"/>
                <w:color w:val="26302D"/>
                <w:sz w:val="15"/>
              </w:rPr>
              <w:t xml:space="preserve">    "payout_destination": {"value": "0x...", "confidence": 0.97}</w:t>
            </w:r>
            <w:r>
              <w:br/>
            </w:r>
            <w:r>
              <w:rPr>
                <w:rFonts w:ascii="Liberation Mono" w:hAnsi="Liberation Mono"/>
                <w:color w:val="26302D"/>
                <w:sz w:val="15"/>
              </w:rPr>
              <w:t xml:space="preserve">  }</w:t>
            </w:r>
            <w:r>
              <w:br/>
            </w:r>
            <w:r>
              <w:rPr>
                <w:rFonts w:ascii="Liberation Mono" w:hAnsi="Liberation Mono"/>
                <w:color w:val="26302D"/>
                <w:sz w:val="15"/>
              </w:rPr>
              <w:t>}</w:t>
            </w:r>
          </w:p>
        </w:tc>
      </w:tr>
    </w:tbl>
    <w:p>
      <w:pPr>
        <w:spacing w:after="20"/>
      </w:pPr>
    </w:p>
    <w:p>
      <w:pPr>
        <w:pStyle w:val="Heading2"/>
        <w:keepNext/>
        <w:spacing w:before="120" w:after="80"/>
      </w:pPr>
      <w:r>
        <w:rPr>
          <w:rFonts w:ascii="Carlito" w:hAnsi="Carlito"/>
          <w:b/>
          <w:color w:val="17211E"/>
          <w:sz w:val="26"/>
        </w:rPr>
        <w:t>A.2 Witness result</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w:t>
            </w:r>
            <w:r>
              <w:br/>
            </w:r>
            <w:r>
              <w:rPr>
                <w:rFonts w:ascii="Liberation Mono" w:hAnsi="Liberation Mono"/>
                <w:color w:val="26302D"/>
                <w:sz w:val="15"/>
              </w:rPr>
              <w:t xml:space="preserve">  "obligation_id": "obl_...",</w:t>
            </w:r>
            <w:r>
              <w:br/>
            </w:r>
            <w:r>
              <w:rPr>
                <w:rFonts w:ascii="Liberation Mono" w:hAnsi="Liberation Mono"/>
                <w:color w:val="26302D"/>
                <w:sz w:val="15"/>
              </w:rPr>
              <w:t xml:space="preserve">  "verdict": "HOLD",</w:t>
            </w:r>
            <w:r>
              <w:br/>
            </w:r>
            <w:r>
              <w:rPr>
                <w:rFonts w:ascii="Liberation Mono" w:hAnsi="Liberation Mono"/>
                <w:color w:val="26302D"/>
                <w:sz w:val="15"/>
              </w:rPr>
              <w:t xml:space="preserve">  "reason_code": "DESTINATION_CHANGED",</w:t>
            </w:r>
            <w:r>
              <w:br/>
            </w:r>
            <w:r>
              <w:rPr>
                <w:rFonts w:ascii="Liberation Mono" w:hAnsi="Liberation Mono"/>
                <w:color w:val="26302D"/>
                <w:sz w:val="15"/>
              </w:rPr>
              <w:t xml:space="preserve">  "vendor_version": 3,</w:t>
            </w:r>
            <w:r>
              <w:br/>
            </w:r>
            <w:r>
              <w:rPr>
                <w:rFonts w:ascii="Liberation Mono" w:hAnsi="Liberation Mono"/>
                <w:color w:val="26302D"/>
                <w:sz w:val="15"/>
              </w:rPr>
              <w:t xml:space="preserve">  "evidence_root": "0x...",</w:t>
            </w:r>
            <w:r>
              <w:br/>
            </w:r>
            <w:r>
              <w:rPr>
                <w:rFonts w:ascii="Liberation Mono" w:hAnsi="Liberation Mono"/>
                <w:color w:val="26302D"/>
                <w:sz w:val="15"/>
              </w:rPr>
              <w:t xml:space="preserve">  "checks": [</w:t>
            </w:r>
            <w:r>
              <w:br/>
            </w:r>
            <w:r>
              <w:rPr>
                <w:rFonts w:ascii="Liberation Mono" w:hAnsi="Liberation Mono"/>
                <w:color w:val="26302D"/>
                <w:sz w:val="15"/>
              </w:rPr>
              <w:t xml:space="preserve">    {"id": "W01", "status": "PASS"},</w:t>
            </w:r>
            <w:r>
              <w:br/>
            </w:r>
            <w:r>
              <w:rPr>
                <w:rFonts w:ascii="Liberation Mono" w:hAnsi="Liberation Mono"/>
                <w:color w:val="26302D"/>
                <w:sz w:val="15"/>
              </w:rPr>
              <w:t xml:space="preserve">    {"id": "W06", "status": "PASS"},</w:t>
            </w:r>
            <w:r>
              <w:br/>
            </w:r>
            <w:r>
              <w:rPr>
                <w:rFonts w:ascii="Liberation Mono" w:hAnsi="Liberation Mono"/>
                <w:color w:val="26302D"/>
                <w:sz w:val="15"/>
              </w:rPr>
              <w:t xml:space="preserve">    {</w:t>
            </w:r>
            <w:r>
              <w:br/>
            </w:r>
            <w:r>
              <w:rPr>
                <w:rFonts w:ascii="Liberation Mono" w:hAnsi="Liberation Mono"/>
                <w:color w:val="26302D"/>
                <w:sz w:val="15"/>
              </w:rPr>
              <w:t xml:space="preserve">      "id": "W07",</w:t>
            </w:r>
            <w:r>
              <w:br/>
            </w:r>
            <w:r>
              <w:rPr>
                <w:rFonts w:ascii="Liberation Mono" w:hAnsi="Liberation Mono"/>
                <w:color w:val="26302D"/>
                <w:sz w:val="15"/>
              </w:rPr>
              <w:t xml:space="preserve">      "status": "FAIL",</w:t>
            </w:r>
            <w:r>
              <w:br/>
            </w:r>
            <w:r>
              <w:rPr>
                <w:rFonts w:ascii="Liberation Mono" w:hAnsi="Liberation Mono"/>
                <w:color w:val="26302D"/>
                <w:sz w:val="15"/>
              </w:rPr>
              <w:t xml:space="preserve">      "expected": "0xVerified...",</w:t>
            </w:r>
            <w:r>
              <w:br/>
            </w:r>
            <w:r>
              <w:rPr>
                <w:rFonts w:ascii="Liberation Mono" w:hAnsi="Liberation Mono"/>
                <w:color w:val="26302D"/>
                <w:sz w:val="15"/>
              </w:rPr>
              <w:t xml:space="preserve">      "observed": "0xNew..."</w:t>
            </w:r>
            <w:r>
              <w:br/>
            </w:r>
            <w:r>
              <w:rPr>
                <w:rFonts w:ascii="Liberation Mono" w:hAnsi="Liberation Mono"/>
                <w:color w:val="26302D"/>
                <w:sz w:val="15"/>
              </w:rPr>
              <w:t xml:space="preserve">    }</w:t>
            </w:r>
            <w:r>
              <w:br/>
            </w:r>
            <w:r>
              <w:rPr>
                <w:rFonts w:ascii="Liberation Mono" w:hAnsi="Liberation Mono"/>
                <w:color w:val="26302D"/>
                <w:sz w:val="15"/>
              </w:rPr>
              <w:t xml:space="preserve">  ],</w:t>
            </w:r>
            <w:r>
              <w:br/>
            </w:r>
            <w:r>
              <w:rPr>
                <w:rFonts w:ascii="Liberation Mono" w:hAnsi="Liberation Mono"/>
                <w:color w:val="26302D"/>
                <w:sz w:val="15"/>
              </w:rPr>
              <w:t xml:space="preserve">  "required_action": "OWNER_REVERIFY_VENDOR_DESTINATION"</w:t>
            </w:r>
            <w:r>
              <w:br/>
            </w:r>
            <w:r>
              <w:rPr>
                <w:rFonts w:ascii="Liberation Mono" w:hAnsi="Liberation Mono"/>
                <w:color w:val="26302D"/>
                <w:sz w:val="15"/>
              </w:rPr>
              <w:t>}</w:t>
            </w:r>
          </w:p>
        </w:tc>
      </w:tr>
    </w:tbl>
    <w:p>
      <w:pPr>
        <w:spacing w:after="20"/>
      </w:pPr>
    </w:p>
    <w:p>
      <w:pPr>
        <w:pStyle w:val="Heading2"/>
        <w:keepNext/>
        <w:spacing w:before="120" w:after="80"/>
      </w:pPr>
      <w:r>
        <w:rPr>
          <w:rFonts w:ascii="Carlito" w:hAnsi="Carlito"/>
          <w:b/>
          <w:color w:val="17211E"/>
          <w:sz w:val="26"/>
        </w:rPr>
        <w:t>A.3 DecisionReceipt</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w:t>
            </w:r>
            <w:r>
              <w:br/>
            </w:r>
            <w:r>
              <w:rPr>
                <w:rFonts w:ascii="Liberation Mono" w:hAnsi="Liberation Mono"/>
                <w:color w:val="26302D"/>
                <w:sz w:val="15"/>
              </w:rPr>
              <w:t xml:space="preserve">  "receipt_id": "rcpt_...",</w:t>
            </w:r>
            <w:r>
              <w:br/>
            </w:r>
            <w:r>
              <w:rPr>
                <w:rFonts w:ascii="Liberation Mono" w:hAnsi="Liberation Mono"/>
                <w:color w:val="26302D"/>
                <w:sz w:val="15"/>
              </w:rPr>
              <w:t xml:space="preserve">  "obligation_id": "obl_...",</w:t>
            </w:r>
            <w:r>
              <w:br/>
            </w:r>
            <w:r>
              <w:rPr>
                <w:rFonts w:ascii="Liberation Mono" w:hAnsi="Liberation Mono"/>
                <w:color w:val="26302D"/>
                <w:sz w:val="15"/>
              </w:rPr>
              <w:t xml:space="preserve">  "agent": {</w:t>
            </w:r>
            <w:r>
              <w:br/>
            </w:r>
            <w:r>
              <w:rPr>
                <w:rFonts w:ascii="Liberation Mono" w:hAnsi="Liberation Mono"/>
                <w:color w:val="26302D"/>
                <w:sz w:val="15"/>
              </w:rPr>
              <w:t xml:space="preserve">    "action": "PAY_NOW",</w:t>
            </w:r>
            <w:r>
              <w:br/>
            </w:r>
            <w:r>
              <w:rPr>
                <w:rFonts w:ascii="Liberation Mono" w:hAnsi="Liberation Mono"/>
                <w:color w:val="26302D"/>
                <w:sz w:val="15"/>
              </w:rPr>
              <w:t xml:space="preserve">    "reason_codes": ["DUE_TODAY", "CRITICAL_VENDOR"],</w:t>
            </w:r>
            <w:r>
              <w:br/>
            </w:r>
            <w:r>
              <w:rPr>
                <w:rFonts w:ascii="Liberation Mono" w:hAnsi="Liberation Mono"/>
                <w:color w:val="26302D"/>
                <w:sz w:val="15"/>
              </w:rPr>
              <w:t xml:space="preserve">    "rationale": "...",</w:t>
            </w:r>
            <w:r>
              <w:br/>
            </w:r>
            <w:r>
              <w:rPr>
                <w:rFonts w:ascii="Liberation Mono" w:hAnsi="Liberation Mono"/>
                <w:color w:val="26302D"/>
                <w:sz w:val="15"/>
              </w:rPr>
              <w:t xml:space="preserve">    "business_state_hash": "0x..."</w:t>
            </w:r>
            <w:r>
              <w:br/>
            </w:r>
            <w:r>
              <w:rPr>
                <w:rFonts w:ascii="Liberation Mono" w:hAnsi="Liberation Mono"/>
                <w:color w:val="26302D"/>
                <w:sz w:val="15"/>
              </w:rPr>
              <w:t xml:space="preserve">  },</w:t>
            </w:r>
            <w:r>
              <w:br/>
            </w:r>
            <w:r>
              <w:rPr>
                <w:rFonts w:ascii="Liberation Mono" w:hAnsi="Liberation Mono"/>
                <w:color w:val="26302D"/>
                <w:sz w:val="15"/>
              </w:rPr>
              <w:t xml:space="preserve">  "witness": {</w:t>
            </w:r>
            <w:r>
              <w:br/>
            </w:r>
            <w:r>
              <w:rPr>
                <w:rFonts w:ascii="Liberation Mono" w:hAnsi="Liberation Mono"/>
                <w:color w:val="26302D"/>
                <w:sz w:val="15"/>
              </w:rPr>
              <w:t xml:space="preserve">    "verdict": "VERIFIED",</w:t>
            </w:r>
            <w:r>
              <w:br/>
            </w:r>
            <w:r>
              <w:rPr>
                <w:rFonts w:ascii="Liberation Mono" w:hAnsi="Liberation Mono"/>
                <w:color w:val="26302D"/>
                <w:sz w:val="15"/>
              </w:rPr>
              <w:t xml:space="preserve">    "evidence_root": "0x...",</w:t>
            </w:r>
            <w:r>
              <w:br/>
            </w:r>
            <w:r>
              <w:rPr>
                <w:rFonts w:ascii="Liberation Mono" w:hAnsi="Liberation Mono"/>
                <w:color w:val="26302D"/>
                <w:sz w:val="15"/>
              </w:rPr>
              <w:t xml:space="preserve">    "vendor_version": 3</w:t>
            </w:r>
            <w:r>
              <w:br/>
            </w:r>
            <w:r>
              <w:rPr>
                <w:rFonts w:ascii="Liberation Mono" w:hAnsi="Liberation Mono"/>
                <w:color w:val="26302D"/>
                <w:sz w:val="15"/>
              </w:rPr>
              <w:t xml:space="preserve">  },</w:t>
            </w:r>
            <w:r>
              <w:br/>
            </w:r>
            <w:r>
              <w:rPr>
                <w:rFonts w:ascii="Liberation Mono" w:hAnsi="Liberation Mono"/>
                <w:color w:val="26302D"/>
                <w:sz w:val="15"/>
              </w:rPr>
              <w:t xml:space="preserve">  "authorization": {</w:t>
            </w:r>
            <w:r>
              <w:br/>
            </w:r>
            <w:r>
              <w:rPr>
                <w:rFonts w:ascii="Liberation Mono" w:hAnsi="Liberation Mono"/>
                <w:color w:val="26302D"/>
                <w:sz w:val="15"/>
              </w:rPr>
              <w:t xml:space="preserve">    "policy_version": 5,</w:t>
            </w:r>
            <w:r>
              <w:br/>
            </w:r>
            <w:r>
              <w:rPr>
                <w:rFonts w:ascii="Liberation Mono" w:hAnsi="Liberation Mono"/>
                <w:color w:val="26302D"/>
                <w:sz w:val="15"/>
              </w:rPr>
              <w:t xml:space="preserve">    "attestation_hash": "0x...",</w:t>
            </w:r>
            <w:r>
              <w:br/>
            </w:r>
            <w:r>
              <w:rPr>
                <w:rFonts w:ascii="Liberation Mono" w:hAnsi="Liberation Mono"/>
                <w:color w:val="26302D"/>
                <w:sz w:val="15"/>
              </w:rPr>
              <w:t xml:space="preserve">    "valid_until": "..."</w:t>
            </w:r>
            <w:r>
              <w:br/>
            </w:r>
            <w:r>
              <w:rPr>
                <w:rFonts w:ascii="Liberation Mono" w:hAnsi="Liberation Mono"/>
                <w:color w:val="26302D"/>
                <w:sz w:val="15"/>
              </w:rPr>
              <w:t xml:space="preserve">  },</w:t>
            </w:r>
            <w:r>
              <w:br/>
            </w:r>
            <w:r>
              <w:rPr>
                <w:rFonts w:ascii="Liberation Mono" w:hAnsi="Liberation Mono"/>
                <w:color w:val="26302D"/>
                <w:sz w:val="15"/>
              </w:rPr>
              <w:t xml:space="preserve">  "settlement": {</w:t>
            </w:r>
            <w:r>
              <w:br/>
            </w:r>
            <w:r>
              <w:rPr>
                <w:rFonts w:ascii="Liberation Mono" w:hAnsi="Liberation Mono"/>
                <w:color w:val="26302D"/>
                <w:sz w:val="15"/>
              </w:rPr>
              <w:t xml:space="preserve">    "network": "Arc",</w:t>
            </w:r>
            <w:r>
              <w:br/>
            </w:r>
            <w:r>
              <w:rPr>
                <w:rFonts w:ascii="Liberation Mono" w:hAnsi="Liberation Mono"/>
                <w:color w:val="26302D"/>
                <w:sz w:val="15"/>
              </w:rPr>
              <w:t xml:space="preserve">    "token": "USDC",</w:t>
            </w:r>
            <w:r>
              <w:br/>
            </w:r>
            <w:r>
              <w:rPr>
                <w:rFonts w:ascii="Liberation Mono" w:hAnsi="Liberation Mono"/>
                <w:color w:val="26302D"/>
                <w:sz w:val="15"/>
              </w:rPr>
              <w:t xml:space="preserve">    "tx_hash": "0x...",</w:t>
            </w:r>
            <w:r>
              <w:br/>
            </w:r>
            <w:r>
              <w:rPr>
                <w:rFonts w:ascii="Liberation Mono" w:hAnsi="Liberation Mono"/>
                <w:color w:val="26302D"/>
                <w:sz w:val="15"/>
              </w:rPr>
              <w:t xml:space="preserve">    "status": "FINAL"</w:t>
            </w:r>
            <w:r>
              <w:br/>
            </w:r>
            <w:r>
              <w:rPr>
                <w:rFonts w:ascii="Liberation Mono" w:hAnsi="Liberation Mono"/>
                <w:color w:val="26302D"/>
                <w:sz w:val="15"/>
              </w:rPr>
              <w:t xml:space="preserve">  },</w:t>
            </w:r>
            <w:r>
              <w:br/>
            </w:r>
            <w:r>
              <w:rPr>
                <w:rFonts w:ascii="Liberation Mono" w:hAnsi="Liberation Mono"/>
                <w:color w:val="26302D"/>
                <w:sz w:val="15"/>
              </w:rPr>
              <w:t xml:space="preserve">  "receipt_hash": "0x..."</w:t>
            </w:r>
            <w:r>
              <w:br/>
            </w:r>
            <w:r>
              <w:rPr>
                <w:rFonts w:ascii="Liberation Mono" w:hAnsi="Liberation Mono"/>
                <w:color w:val="26302D"/>
                <w:sz w:val="15"/>
              </w:rPr>
              <w:t>}</w:t>
            </w:r>
          </w:p>
        </w:tc>
      </w:tr>
    </w:tbl>
    <w:p>
      <w:pPr>
        <w:spacing w:after="20"/>
      </w:pPr>
    </w:p>
    <w:p>
      <w:pPr>
        <w:pStyle w:val="Heading1"/>
        <w:keepNext/>
        <w:spacing w:before="200" w:after="80"/>
      </w:pPr>
      <w:r>
        <w:rPr>
          <w:rFonts w:ascii="Carlito" w:hAnsi="Carlito"/>
          <w:b/>
          <w:color w:val="173F35"/>
          <w:sz w:val="36"/>
        </w:rPr>
        <w:t>Appendix B. Contract Interface Sketch</w:t>
      </w:r>
    </w:p>
    <w:tbl>
      <w:tblPr>
        <w:tblW w:type="auto" w:w="0"/>
        <w:jc w:val="center"/>
        <w:tblLook w:firstColumn="1" w:firstRow="1" w:lastColumn="0" w:lastRow="0" w:noHBand="0" w:noVBand="1" w:val="04A0"/>
      </w:tblPr>
      <w:tblGrid>
        <w:gridCol w:w="10080"/>
      </w:tblGrid>
      <w:tr>
        <w:tc>
          <w:tcPr>
            <w:tcW w:type="dxa" w:w="10080"/>
            <w:shd w:fill="F2F4F3"/>
            <w:tcBorders>
              <w:top w:val="single" w:sz="2" w:color="CBD2CF"/>
              <w:left w:val="single" w:sz="2" w:color="CBD2CF"/>
              <w:bottom w:val="single" w:sz="2" w:color="CBD2CF"/>
              <w:right w:val="single" w:sz="2" w:color="CBD2CF"/>
            </w:tcBorders>
          </w:tcPr>
          <w:p>
            <w:pPr>
              <w:spacing w:after="0"/>
            </w:pPr>
            <w:r>
              <w:rPr>
                <w:rFonts w:ascii="Liberation Mono" w:hAnsi="Liberation Mono"/>
                <w:color w:val="26302D"/>
                <w:sz w:val="15"/>
              </w:rPr>
              <w:t>interface IObligationVault {</w:t>
            </w:r>
            <w:r>
              <w:br/>
            </w:r>
            <w:r>
              <w:rPr>
                <w:rFonts w:ascii="Liberation Mono" w:hAnsi="Liberation Mono"/>
                <w:color w:val="26302D"/>
                <w:sz w:val="15"/>
              </w:rPr>
              <w:t xml:space="preserve">    struct Vendor {</w:t>
            </w:r>
            <w:r>
              <w:br/>
            </w:r>
            <w:r>
              <w:rPr>
                <w:rFonts w:ascii="Liberation Mono" w:hAnsi="Liberation Mono"/>
                <w:color w:val="26302D"/>
                <w:sz w:val="15"/>
              </w:rPr>
              <w:t xml:space="preserve">        address payout;</w:t>
            </w:r>
            <w:r>
              <w:br/>
            </w:r>
            <w:r>
              <w:rPr>
                <w:rFonts w:ascii="Liberation Mono" w:hAnsi="Liberation Mono"/>
                <w:color w:val="26302D"/>
                <w:sz w:val="15"/>
              </w:rPr>
              <w:t xml:space="preserve">        uint64 version;</w:t>
            </w:r>
            <w:r>
              <w:br/>
            </w:r>
            <w:r>
              <w:rPr>
                <w:rFonts w:ascii="Liberation Mono" w:hAnsi="Liberation Mono"/>
                <w:color w:val="26302D"/>
                <w:sz w:val="15"/>
              </w:rPr>
              <w:t xml:space="preserve">        bool active;</w:t>
            </w:r>
            <w:r>
              <w:br/>
            </w:r>
            <w:r>
              <w:rPr>
                <w:rFonts w:ascii="Liberation Mono" w:hAnsi="Liberation Mono"/>
                <w:color w:val="26302D"/>
                <w:sz w:val="15"/>
              </w:rPr>
              <w:t xml:space="preserve">    }</w:t>
            </w:r>
            <w:r>
              <w:br/>
            </w:r>
            <w:r>
              <w:rPr>
                <w:rFonts w:ascii="Liberation Mono" w:hAnsi="Liberation Mono"/>
                <w:color w:val="26302D"/>
                <w:sz w:val="15"/>
              </w:rPr>
            </w:r>
            <w:r>
              <w:br/>
            </w:r>
            <w:r>
              <w:rPr>
                <w:rFonts w:ascii="Liberation Mono" w:hAnsi="Liberation Mono"/>
                <w:color w:val="26302D"/>
                <w:sz w:val="15"/>
              </w:rPr>
              <w:t xml:space="preserve">    struct WitnessAttestation {</w:t>
            </w:r>
            <w:r>
              <w:br/>
            </w:r>
            <w:r>
              <w:rPr>
                <w:rFonts w:ascii="Liberation Mono" w:hAnsi="Liberation Mono"/>
                <w:color w:val="26302D"/>
                <w:sz w:val="15"/>
              </w:rPr>
              <w:t xml:space="preserve">        bytes32 obligationId;</w:t>
            </w:r>
            <w:r>
              <w:br/>
            </w:r>
            <w:r>
              <w:rPr>
                <w:rFonts w:ascii="Liberation Mono" w:hAnsi="Liberation Mono"/>
                <w:color w:val="26302D"/>
                <w:sz w:val="15"/>
              </w:rPr>
              <w:t xml:space="preserve">        bytes32 vendorIdHash;</w:t>
            </w:r>
            <w:r>
              <w:br/>
            </w:r>
            <w:r>
              <w:rPr>
                <w:rFonts w:ascii="Liberation Mono" w:hAnsi="Liberation Mono"/>
                <w:color w:val="26302D"/>
                <w:sz w:val="15"/>
              </w:rPr>
              <w:t xml:space="preserve">        address payee;</w:t>
            </w:r>
            <w:r>
              <w:br/>
            </w:r>
            <w:r>
              <w:rPr>
                <w:rFonts w:ascii="Liberation Mono" w:hAnsi="Liberation Mono"/>
                <w:color w:val="26302D"/>
                <w:sz w:val="15"/>
              </w:rPr>
              <w:t xml:space="preserve">        address token;</w:t>
            </w:r>
            <w:r>
              <w:br/>
            </w:r>
            <w:r>
              <w:rPr>
                <w:rFonts w:ascii="Liberation Mono" w:hAnsi="Liberation Mono"/>
                <w:color w:val="26302D"/>
                <w:sz w:val="15"/>
              </w:rPr>
              <w:t xml:space="preserve">        uint256 amount;</w:t>
            </w:r>
            <w:r>
              <w:br/>
            </w:r>
            <w:r>
              <w:rPr>
                <w:rFonts w:ascii="Liberation Mono" w:hAnsi="Liberation Mono"/>
                <w:color w:val="26302D"/>
                <w:sz w:val="15"/>
              </w:rPr>
              <w:t xml:space="preserve">        bytes32 evidenceRoot;</w:t>
            </w:r>
            <w:r>
              <w:br/>
            </w:r>
            <w:r>
              <w:rPr>
                <w:rFonts w:ascii="Liberation Mono" w:hAnsi="Liberation Mono"/>
                <w:color w:val="26302D"/>
                <w:sz w:val="15"/>
              </w:rPr>
              <w:t xml:space="preserve">        bytes32 receiptHash;</w:t>
            </w:r>
            <w:r>
              <w:br/>
            </w:r>
            <w:r>
              <w:rPr>
                <w:rFonts w:ascii="Liberation Mono" w:hAnsi="Liberation Mono"/>
                <w:color w:val="26302D"/>
                <w:sz w:val="15"/>
              </w:rPr>
              <w:t xml:space="preserve">        uint64 vendorVersion;</w:t>
            </w:r>
            <w:r>
              <w:br/>
            </w:r>
            <w:r>
              <w:rPr>
                <w:rFonts w:ascii="Liberation Mono" w:hAnsi="Liberation Mono"/>
                <w:color w:val="26302D"/>
                <w:sz w:val="15"/>
              </w:rPr>
              <w:t xml:space="preserve">        uint64 policyVersion;</w:t>
            </w:r>
            <w:r>
              <w:br/>
            </w:r>
            <w:r>
              <w:rPr>
                <w:rFonts w:ascii="Liberation Mono" w:hAnsi="Liberation Mono"/>
                <w:color w:val="26302D"/>
                <w:sz w:val="15"/>
              </w:rPr>
              <w:t xml:space="preserve">        uint64 validUntil;</w:t>
            </w:r>
            <w:r>
              <w:br/>
            </w:r>
            <w:r>
              <w:rPr>
                <w:rFonts w:ascii="Liberation Mono" w:hAnsi="Liberation Mono"/>
                <w:color w:val="26302D"/>
                <w:sz w:val="15"/>
              </w:rPr>
              <w:t xml:space="preserve">    }</w:t>
            </w:r>
            <w:r>
              <w:br/>
            </w:r>
            <w:r>
              <w:rPr>
                <w:rFonts w:ascii="Liberation Mono" w:hAnsi="Liberation Mono"/>
                <w:color w:val="26302D"/>
                <w:sz w:val="15"/>
              </w:rPr>
            </w:r>
            <w:r>
              <w:br/>
            </w:r>
            <w:r>
              <w:rPr>
                <w:rFonts w:ascii="Liberation Mono" w:hAnsi="Liberation Mono"/>
                <w:color w:val="26302D"/>
                <w:sz w:val="15"/>
              </w:rPr>
              <w:t xml:space="preserve">    event ObligationSettled(</w:t>
            </w:r>
            <w:r>
              <w:br/>
            </w:r>
            <w:r>
              <w:rPr>
                <w:rFonts w:ascii="Liberation Mono" w:hAnsi="Liberation Mono"/>
                <w:color w:val="26302D"/>
                <w:sz w:val="15"/>
              </w:rPr>
              <w:t xml:space="preserve">        bytes32 indexed obligationId,</w:t>
            </w:r>
            <w:r>
              <w:br/>
            </w:r>
            <w:r>
              <w:rPr>
                <w:rFonts w:ascii="Liberation Mono" w:hAnsi="Liberation Mono"/>
                <w:color w:val="26302D"/>
                <w:sz w:val="15"/>
              </w:rPr>
              <w:t xml:space="preserve">        bytes32 indexed vendorIdHash,</w:t>
            </w:r>
            <w:r>
              <w:br/>
            </w:r>
            <w:r>
              <w:rPr>
                <w:rFonts w:ascii="Liberation Mono" w:hAnsi="Liberation Mono"/>
                <w:color w:val="26302D"/>
                <w:sz w:val="15"/>
              </w:rPr>
              <w:t xml:space="preserve">        address indexed payee,</w:t>
            </w:r>
            <w:r>
              <w:br/>
            </w:r>
            <w:r>
              <w:rPr>
                <w:rFonts w:ascii="Liberation Mono" w:hAnsi="Liberation Mono"/>
                <w:color w:val="26302D"/>
                <w:sz w:val="15"/>
              </w:rPr>
              <w:t xml:space="preserve">        uint256 amount,</w:t>
            </w:r>
            <w:r>
              <w:br/>
            </w:r>
            <w:r>
              <w:rPr>
                <w:rFonts w:ascii="Liberation Mono" w:hAnsi="Liberation Mono"/>
                <w:color w:val="26302D"/>
                <w:sz w:val="15"/>
              </w:rPr>
              <w:t xml:space="preserve">        bytes32 evidenceRoot,</w:t>
            </w:r>
            <w:r>
              <w:br/>
            </w:r>
            <w:r>
              <w:rPr>
                <w:rFonts w:ascii="Liberation Mono" w:hAnsi="Liberation Mono"/>
                <w:color w:val="26302D"/>
                <w:sz w:val="15"/>
              </w:rPr>
              <w:t xml:space="preserve">        bytes32 receiptHash</w:t>
            </w:r>
            <w:r>
              <w:br/>
            </w:r>
            <w:r>
              <w:rPr>
                <w:rFonts w:ascii="Liberation Mono" w:hAnsi="Liberation Mono"/>
                <w:color w:val="26302D"/>
                <w:sz w:val="15"/>
              </w:rPr>
              <w:t xml:space="preserve">    );</w:t>
            </w:r>
            <w:r>
              <w:br/>
            </w:r>
            <w:r>
              <w:rPr>
                <w:rFonts w:ascii="Liberation Mono" w:hAnsi="Liberation Mono"/>
                <w:color w:val="26302D"/>
                <w:sz w:val="15"/>
              </w:rPr>
            </w:r>
            <w:r>
              <w:br/>
            </w:r>
            <w:r>
              <w:rPr>
                <w:rFonts w:ascii="Liberation Mono" w:hAnsi="Liberation Mono"/>
                <w:color w:val="26302D"/>
                <w:sz w:val="15"/>
              </w:rPr>
              <w:t xml:space="preserve">    function release(</w:t>
            </w:r>
            <w:r>
              <w:br/>
            </w:r>
            <w:r>
              <w:rPr>
                <w:rFonts w:ascii="Liberation Mono" w:hAnsi="Liberation Mono"/>
                <w:color w:val="26302D"/>
                <w:sz w:val="15"/>
              </w:rPr>
              <w:t xml:space="preserve">        WitnessAttestation calldata attestation,</w:t>
            </w:r>
            <w:r>
              <w:br/>
            </w:r>
            <w:r>
              <w:rPr>
                <w:rFonts w:ascii="Liberation Mono" w:hAnsi="Liberation Mono"/>
                <w:color w:val="26302D"/>
                <w:sz w:val="15"/>
              </w:rPr>
              <w:t xml:space="preserve">        bytes calldata witnessSignature,</w:t>
            </w:r>
            <w:r>
              <w:br/>
            </w:r>
            <w:r>
              <w:rPr>
                <w:rFonts w:ascii="Liberation Mono" w:hAnsi="Liberation Mono"/>
                <w:color w:val="26302D"/>
                <w:sz w:val="15"/>
              </w:rPr>
              <w:t xml:space="preserve">        bytes calldata ownerApproval</w:t>
            </w:r>
            <w:r>
              <w:br/>
            </w:r>
            <w:r>
              <w:rPr>
                <w:rFonts w:ascii="Liberation Mono" w:hAnsi="Liberation Mono"/>
                <w:color w:val="26302D"/>
                <w:sz w:val="15"/>
              </w:rPr>
              <w:t xml:space="preserve">    ) external;</w:t>
            </w:r>
            <w:r>
              <w:br/>
            </w:r>
            <w:r>
              <w:rPr>
                <w:rFonts w:ascii="Liberation Mono" w:hAnsi="Liberation Mono"/>
                <w:color w:val="26302D"/>
                <w:sz w:val="15"/>
              </w:rPr>
            </w:r>
            <w:r>
              <w:br/>
            </w:r>
            <w:r>
              <w:rPr>
                <w:rFonts w:ascii="Liberation Mono" w:hAnsi="Liberation Mono"/>
                <w:color w:val="26302D"/>
                <w:sz w:val="15"/>
              </w:rPr>
              <w:t xml:space="preserve">    function setVendor(bytes32 vendorIdHash, address payout) external;</w:t>
            </w:r>
            <w:r>
              <w:br/>
            </w:r>
            <w:r>
              <w:rPr>
                <w:rFonts w:ascii="Liberation Mono" w:hAnsi="Liberation Mono"/>
                <w:color w:val="26302D"/>
                <w:sz w:val="15"/>
              </w:rPr>
              <w:t xml:space="preserve">    function setWitnessSigner(address signer) external;</w:t>
            </w:r>
            <w:r>
              <w:br/>
            </w:r>
            <w:r>
              <w:rPr>
                <w:rFonts w:ascii="Liberation Mono" w:hAnsi="Liberation Mono"/>
                <w:color w:val="26302D"/>
                <w:sz w:val="15"/>
              </w:rPr>
              <w:t xml:space="preserve">    function setPolicy(uint256 perPaymentCap, uint256 approvalThreshold) external;</w:t>
            </w:r>
            <w:r>
              <w:br/>
            </w:r>
            <w:r>
              <w:rPr>
                <w:rFonts w:ascii="Liberation Mono" w:hAnsi="Liberation Mono"/>
                <w:color w:val="26302D"/>
                <w:sz w:val="15"/>
              </w:rPr>
              <w:t xml:space="preserve">    function pause() external;</w:t>
            </w:r>
            <w:r>
              <w:br/>
            </w:r>
            <w:r>
              <w:rPr>
                <w:rFonts w:ascii="Liberation Mono" w:hAnsi="Liberation Mono"/>
                <w:color w:val="26302D"/>
                <w:sz w:val="15"/>
              </w:rPr>
              <w:t>}</w:t>
            </w:r>
          </w:p>
        </w:tc>
      </w:tr>
    </w:tbl>
    <w:p>
      <w:pPr>
        <w:spacing w:after="20"/>
      </w:pPr>
    </w:p>
    <w:p>
      <w:pPr>
        <w:pStyle w:val="Heading1"/>
        <w:keepNext/>
        <w:spacing w:before="200" w:after="80"/>
      </w:pPr>
      <w:r>
        <w:rPr>
          <w:rFonts w:ascii="Carlito" w:hAnsi="Carlito"/>
          <w:b/>
          <w:color w:val="173F35"/>
          <w:sz w:val="36"/>
        </w:rPr>
        <w:t>Appendix C. Source Basis</w:t>
      </w:r>
    </w:p>
    <w:p>
      <w:pPr>
        <w:spacing w:after="100"/>
      </w:pPr>
      <w:r>
        <w:rPr>
          <w:rFonts w:ascii="Carlito" w:hAnsi="Carlito"/>
          <w:i w:val="0"/>
        </w:rPr>
        <w:t>The PRD intentionally distinguishes source-derived event constraints from product-design decisions. Source-derived facts are referenced with [S#]. Product architecture, schemas, rules and priorities are Euthyna design decisions unless explicitly attributed.</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080"/>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Ref</w:t>
            </w:r>
          </w:p>
        </w:tc>
        <w:tc>
          <w:tcPr>
            <w:tcW w:type="dxa" w:w="8712"/>
            <w:shd w:fill="173F35"/>
            <w:tcBorders>
              <w:top w:val="single" w:sz="3" w:color="C9D6D1"/>
              <w:left w:val="single" w:sz="3" w:color="C9D6D1"/>
              <w:bottom w:val="single" w:sz="3" w:color="C9D6D1"/>
              <w:right w:val="single" w:sz="3" w:color="C9D6D1"/>
            </w:tcBorders>
            <w:vAlign w:val="center"/>
          </w:tcPr>
          <w:p>
            <w:pPr>
              <w:spacing w:after="0"/>
            </w:pPr>
            <w:r>
              <w:rPr>
                <w:rFonts w:ascii="Carlito" w:hAnsi="Carlito"/>
                <w:b/>
                <w:color w:val="FFFFFF"/>
                <w:sz w:val="16"/>
              </w:rPr>
              <w:t>Material</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[S1]</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Tameion Agents Hackathon official-site content captured in the supplied project notes: five RFBs; $40K awards; stack/prior art; judging; FAQ; submission requirements.</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[S2]</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Tameion Kickoff transcript, 27 Sep 2026: RFB examples and metrics; “Agents and Ledgers” framing; judging; traction; real-business requirement.</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[S3]</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Arc 101 transcript: Arc/Circle developer setup; mainnet/testnet scoring signal; Arc Canteen CLI/RPC/context; settlement and tooling guidance.</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[S4]</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Canteen × Arc Open Source Showcase and supplied Lepton/Agora winner list: Keryx, Puls, Rubicon, AgoraFX, Athena, ENGYE and standouts. Winner-pattern conclusions in this PRD are inferences, not official rules.</w:t>
            </w:r>
          </w:p>
        </w:tc>
      </w:tr>
      <w:tr>
        <w:tc>
          <w:tcPr>
            <w:tcW w:type="dxa" w:w="1080"/>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[S5]</w:t>
            </w:r>
          </w:p>
        </w:tc>
        <w:tc>
          <w:tcPr>
            <w:tcW w:type="dxa" w:w="8712"/>
            <w:shd w:fill="FFFFFF"/>
            <w:tcBorders>
              <w:top w:val="single" w:sz="2" w:color="C9D6D1"/>
              <w:left w:val="single" w:sz="2" w:color="C9D6D1"/>
              <w:bottom w:val="single" w:sz="2" w:color="C9D6D1"/>
              <w:right w:val="single" w:sz="2" w:color="C9D6D1"/>
            </w:tcBorders>
            <w:vAlign w:val="top"/>
          </w:tcPr>
          <w:p>
            <w:pPr>
              <w:spacing w:after="0"/>
            </w:pPr>
            <w:r>
              <w:rPr>
                <w:rFonts w:ascii="Carlito" w:hAnsi="Carlito"/>
                <w:sz w:val="16"/>
              </w:rPr>
              <w:t>Bursar public repository README captured 29 Sep 2026: job-scoped spending limits, JobVault, approvals, idempotency, audit, Circle/x402 and Arc testnet implementation.</w:t>
            </w:r>
          </w:p>
        </w:tc>
      </w:tr>
      <w:tr>
        <w:tc>
          <w:tcPr>
            <w:tcW w:type="dxa" w:w="1080"/>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[S6]</w:t>
            </w:r>
          </w:p>
        </w:tc>
        <w:tc>
          <w:tcPr>
            <w:tcW w:type="dxa" w:w="8712"/>
            <w:shd w:fill="F4F7F6"/>
            <w:tcBorders>
              <w:top w:val="single" w:sz="2" w:color="C9D6D1"/>
              <w:left w:val="single" w:sz="2" w:color="C9D6D1"/>
              <w:bottom w:val="single" w:sz="2" w:color="C9D6D1"/>
              <w:right w:val="single" w:sz="2" w:color="C9D6D1"/>
            </w:tcBorders>
            <w:vAlign w:val="top"/>
          </w:tcPr>
          <w:p>
            <w:pPr>
              <w:spacing w:after="0"/>
            </w:pPr>
            <w:r>
              <w:rPr>
                <w:rFonts w:ascii="Carlito" w:hAnsi="Carlito"/>
                <w:sz w:val="16"/>
              </w:rPr>
              <w:t>Tameion “Building safe onchain agents with Aomi on Arc” transcript: intent-to-execution harness, forked-chain transaction simulation, wallets/account abstraction, Agent API and Pipeline API.</w:t>
            </w:r>
          </w:p>
        </w:tc>
      </w:tr>
    </w:tbl>
    <w:p>
      <w:pPr>
        <w:spacing w:after="20"/>
      </w:pPr>
    </w:p>
    <w:p>
      <w:pPr>
        <w:pStyle w:val="Heading2"/>
        <w:keepNext/>
        <w:spacing w:before="120" w:after="80"/>
      </w:pPr>
      <w:r>
        <w:rPr>
          <w:rFonts w:ascii="Carlito" w:hAnsi="Carlito"/>
          <w:b/>
          <w:color w:val="17211E"/>
          <w:sz w:val="26"/>
        </w:rPr>
        <w:t>C.1 Final product decision</w:t>
      </w:r>
    </w:p>
    <w:tbl>
      <w:tblPr>
        <w:tblW w:type="auto" w:w="0"/>
        <w:jc w:val="center"/>
        <w:tblLayout w:type="fixed"/>
        <w:tblLook w:firstColumn="1" w:firstRow="1" w:lastColumn="0" w:lastRow="0" w:noHBand="0" w:noVBand="1" w:val="04A0"/>
      </w:tblPr>
      <w:tblGrid>
        <w:gridCol w:w="9144"/>
      </w:tblGrid>
      <w:tr>
        <w:tc>
          <w:tcPr>
            <w:tcW w:type="dxa" w:w="10080"/>
            <w:shd w:fill="EAF1EE"/>
            <w:tcBorders>
              <w:top w:val="single" w:sz="8" w:color="173F35"/>
              <w:left w:val="single" w:sz="4" w:color="C9D6D1"/>
              <w:bottom w:val="single" w:sz="4" w:color="C9D6D1"/>
              <w:right w:val="single" w:sz="4" w:color="C9D6D1"/>
            </w:tcBorders>
          </w:tcPr>
          <w:p>
            <w:pPr>
              <w:spacing w:after="40"/>
            </w:pPr>
            <w:r>
              <w:rPr>
                <w:rFonts w:ascii="Carlito" w:hAnsi="Carlito"/>
                <w:b/>
                <w:color w:val="173F35"/>
                <w:sz w:val="21"/>
              </w:rPr>
              <w:t>PRD lock</w:t>
            </w:r>
          </w:p>
          <w:p>
            <w:pPr>
              <w:spacing w:after="0"/>
            </w:pPr>
            <w:r>
              <w:rPr>
                <w:rFonts w:ascii="Carlito" w:hAnsi="Carlito"/>
                <w:sz w:val="20"/>
              </w:rPr>
              <w:t>Euthyna v1 is not a generic AI CFO, generic invoice reader, or generic multi-agent budget system. It is a proof-of-obligation AP agent: the agent makes genuine payment-timing decisions only after an evidence witness establishes business truth, and an on-chain authorization layer ensures the verified obligation is the only thing that can settle.</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200"/>
      <w:gridCol w:w="2016"/>
    </w:tblGrid>
    <w:tr>
      <w:tc>
        <w:tcPr>
          <w:tcW w:type="dxa" w:w="4608"/>
        </w:tcPr>
        <w:p>
          <w:r>
            <w:rPr>
              <w:rFonts w:ascii="Carlito" w:hAnsi="Carlito"/>
              <w:color w:val="5E6A66"/>
              <w:sz w:val="16"/>
            </w:rPr>
            <w:t>Tameion build spec  •  v1.0  •  29 Sep 2026</w:t>
          </w:r>
        </w:p>
      </w:tc>
      <w:tc>
        <w:tcPr>
          <w:tcW w:type="dxa" w:w="4608"/>
        </w:tcPr>
        <w:p>
          <w:pPr>
            <w:jc w:val="right"/>
          </w:pPr>
          <w:r>
            <w:rPr>
              <w:rFonts w:ascii="Carlito" w:hAnsi="Carlito"/>
              <w:color w:val="5E6A66"/>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rlito" w:hAnsi="Carlito"/>
        <w:b/>
        <w:color w:val="173F35"/>
        <w:sz w:val="17"/>
      </w:rPr>
      <w:t>EUTHYNA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Euthyna - Full Product Requirements Document</dc:title>
  <dc:subject>Tameion Agents Hackathon - Proof-of-Obligation for Autonomous Payments</dc:subject>
  <dc:creator>Kaptan / Euthyna</dc:creator>
  <cp:keywords>Euthyna, Tameion, Arc, Circle, USDC, autonomous agents, accounts payable, proof of obligation</cp:keywords>
  <dc:description>generated by python-docx</dc:description>
  <cp:lastModifiedBy/>
  <cp:revision>1</cp:revision>
  <dcterms:created xsi:type="dcterms:W3CDTF">2013-12-23T23:15:00Z</dcterms:created>
  <dcterms:modified xsi:type="dcterms:W3CDTF">2013-12-23T23:15:00Z</dcterms:modified>
  <cp:category/>
</cp:coreProperties>
</file>