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データ分析業務委託契約書"/>
    <w:p>
      <w:pPr>
        <w:pStyle w:val="Heading1"/>
      </w:pPr>
      <w:r>
        <w:rPr>
          <w:rFonts w:hint="eastAsia"/>
        </w:rPr>
        <w:t xml:space="preserve">データ分析業務委託契約書</w:t>
      </w:r>
    </w:p>
    <w:p>
      <w:pPr>
        <w:pStyle w:val="FirstParagraph"/>
      </w:pPr>
      <w:r>
        <w:rPr>
          <w:rFonts w:hint="eastAsia"/>
        </w:rPr>
        <w:t xml:space="preserve">株式会社東都人材プラットフォーム（以下「甲」という。）と株式会社データアステル（以下「乙」という。）は、甲が乙に委託するデータ分析業務に関し、以下のとおりデータ分析業務委託契約（以下「本契約」という。）を締結する。</w:t>
      </w:r>
    </w:p>
    <w:bookmarkStart w:id="11" w:name="当事者"/>
    <w:p>
      <w:pPr>
        <w:pStyle w:val="Heading2"/>
      </w:pPr>
      <w:r>
        <w:t xml:space="preserve">1. </w:t>
      </w:r>
      <w:r>
        <w:rPr>
          <w:rFonts w:hint="eastAsia"/>
        </w:rPr>
        <w:t xml:space="preserve">当事者</w:t>
      </w:r>
    </w:p>
    <w:bookmarkStart w:id="9" w:name="甲"/>
    <w:p>
      <w:pPr>
        <w:pStyle w:val="Heading3"/>
      </w:pPr>
      <w:r>
        <w:rPr>
          <w:rFonts w:hint="eastAsia"/>
        </w:rPr>
        <w:t xml:space="preserve">（1）甲</w:t>
      </w:r>
    </w:p>
    <w:p>
      <w:pPr>
        <w:pStyle w:val="Compact"/>
        <w:numPr>
          <w:ilvl w:val="0"/>
          <w:numId w:val="1001"/>
        </w:numPr>
      </w:pPr>
      <w:r>
        <w:rPr>
          <w:rFonts w:hint="eastAsia"/>
        </w:rPr>
        <w:t xml:space="preserve">会社名：株式会社東都人材プラットフォーム</w:t>
      </w:r>
    </w:p>
    <w:p>
      <w:pPr>
        <w:pStyle w:val="Compact"/>
        <w:numPr>
          <w:ilvl w:val="0"/>
          <w:numId w:val="1001"/>
        </w:numPr>
      </w:pPr>
      <w:r>
        <w:rPr>
          <w:rFonts w:hint="eastAsia"/>
        </w:rPr>
        <w:t xml:space="preserve">部署名：人事戦略部</w:t>
      </w:r>
      <w:r>
        <w:t xml:space="preserve"> </w:t>
      </w:r>
      <w:r>
        <w:rPr>
          <w:rFonts w:hint="eastAsia"/>
        </w:rPr>
        <w:t xml:space="preserve">人材データ活用室</w:t>
      </w:r>
    </w:p>
    <w:p>
      <w:pPr>
        <w:pStyle w:val="Compact"/>
        <w:numPr>
          <w:ilvl w:val="0"/>
          <w:numId w:val="1001"/>
        </w:numPr>
      </w:pPr>
      <w:r>
        <w:rPr>
          <w:rFonts w:hint="eastAsia"/>
        </w:rPr>
        <w:t xml:space="preserve">主担当者：石川</w:t>
      </w:r>
      <w:r>
        <w:t xml:space="preserve"> </w:t>
      </w:r>
      <w:r>
        <w:rPr>
          <w:rFonts w:hint="eastAsia"/>
        </w:rPr>
        <w:t xml:space="preserve">直樹</w:t>
      </w:r>
    </w:p>
    <w:p>
      <w:pPr>
        <w:pStyle w:val="Compact"/>
        <w:numPr>
          <w:ilvl w:val="0"/>
          <w:numId w:val="1001"/>
        </w:numPr>
      </w:pPr>
      <w:r>
        <w:rPr>
          <w:rFonts w:hint="eastAsia"/>
        </w:rPr>
        <w:t xml:space="preserve">役職：人事戦略部長</w:t>
      </w:r>
    </w:p>
    <w:bookmarkEnd w:id="9"/>
    <w:bookmarkStart w:id="10" w:name="乙"/>
    <w:p>
      <w:pPr>
        <w:pStyle w:val="Heading3"/>
      </w:pPr>
      <w:r>
        <w:rPr>
          <w:rFonts w:hint="eastAsia"/>
        </w:rPr>
        <w:t xml:space="preserve">（2）乙</w:t>
      </w:r>
    </w:p>
    <w:p>
      <w:pPr>
        <w:pStyle w:val="Compact"/>
        <w:numPr>
          <w:ilvl w:val="0"/>
          <w:numId w:val="1002"/>
        </w:numPr>
      </w:pPr>
      <w:r>
        <w:rPr>
          <w:rFonts w:hint="eastAsia"/>
        </w:rPr>
        <w:t xml:space="preserve">会社名：株式会社データアステル</w:t>
      </w:r>
    </w:p>
    <w:p>
      <w:pPr>
        <w:pStyle w:val="Compact"/>
        <w:numPr>
          <w:ilvl w:val="0"/>
          <w:numId w:val="1002"/>
        </w:numPr>
      </w:pPr>
      <w:r>
        <w:rPr>
          <w:rFonts w:hint="eastAsia"/>
        </w:rPr>
        <w:t xml:space="preserve">部署名：データサイエンス部</w:t>
      </w:r>
    </w:p>
    <w:bookmarkEnd w:id="10"/>
    <w:bookmarkEnd w:id="11"/>
    <w:bookmarkStart w:id="12" w:name="目的"/>
    <w:p>
      <w:pPr>
        <w:pStyle w:val="Heading2"/>
      </w:pPr>
      <w:r>
        <w:t xml:space="preserve">2. </w:t>
      </w:r>
      <w:r>
        <w:rPr>
          <w:rFonts w:hint="eastAsia"/>
        </w:rPr>
        <w:t xml:space="preserve">目的</w:t>
      </w:r>
    </w:p>
    <w:p>
      <w:pPr>
        <w:pStyle w:val="FirstParagraph"/>
      </w:pPr>
      <w:r>
        <w:rPr>
          <w:rFonts w:hint="eastAsia"/>
        </w:rPr>
        <w:t xml:space="preserve">本契約は、甲が保有し提供する</w:t>
      </w:r>
      <w:r>
        <w:t xml:space="preserve"> </w:t>
      </w:r>
      <w:r>
        <w:rPr>
          <w:rStyle w:val="VerbatimChar"/>
        </w:rPr>
        <w:t xml:space="preserve">data\train.csv</w:t>
      </w:r>
      <w:r>
        <w:t xml:space="preserve"> </w:t>
      </w:r>
      <w:r>
        <w:rPr>
          <w:rFonts w:hint="eastAsia"/>
        </w:rPr>
        <w:t xml:space="preserve">に格納された人材属性データおよび</w:t>
      </w:r>
      <w:r>
        <w:t xml:space="preserve"> </w:t>
      </w:r>
      <w:r>
        <w:rPr>
          <w:rStyle w:val="VerbatimChar"/>
          <w:rFonts w:hint="eastAsia"/>
        </w:rPr>
        <w:t xml:space="preserve">data\カラム説明.md</w:t>
      </w:r>
      <w:r>
        <w:t xml:space="preserve"> </w:t>
      </w:r>
      <w:r>
        <w:rPr>
          <w:rFonts w:hint="eastAsia"/>
        </w:rPr>
        <w:t xml:space="preserve">を用い、乙が「収入クラス予測によるPeople</w:t>
      </w:r>
      <w:r>
        <w:t xml:space="preserve"> </w:t>
      </w:r>
      <w:r>
        <w:rPr>
          <w:rFonts w:hint="eastAsia"/>
        </w:rPr>
        <w:t xml:space="preserve">Analytics初期分析」として、収入クラス（</w:t>
      </w:r>
      <w:r>
        <w:rPr>
          <w:rStyle w:val="VerbatimChar"/>
        </w:rPr>
        <w:t xml:space="preserve">target</w:t>
      </w:r>
      <w:r>
        <w:rPr>
          <w:rFonts w:hint="eastAsia"/>
        </w:rPr>
        <w:t xml:space="preserve">）予測モデルの企画、分析設計および初期検証を実施し、報酬分析・公平性確認・人材活用支援のための収入クラス予測に関する業務活用可能な判断材料を甲へ提供することを目的とする。</w:t>
      </w:r>
    </w:p>
    <w:bookmarkEnd w:id="12"/>
    <w:bookmarkStart w:id="13" w:name="業務範囲"/>
    <w:p>
      <w:pPr>
        <w:pStyle w:val="Heading2"/>
      </w:pPr>
      <w:r>
        <w:t xml:space="preserve">3. </w:t>
      </w:r>
      <w:r>
        <w:rPr>
          <w:rFonts w:hint="eastAsia"/>
        </w:rPr>
        <w:t xml:space="preserve">業務範囲</w:t>
      </w:r>
    </w:p>
    <w:p>
      <w:pPr>
        <w:pStyle w:val="Compact"/>
        <w:numPr>
          <w:ilvl w:val="0"/>
          <w:numId w:val="1003"/>
        </w:numPr>
      </w:pPr>
      <w:r>
        <w:rPr>
          <w:rFonts w:hint="eastAsia"/>
        </w:rPr>
        <w:t xml:space="preserve">乙が本契約に基づき実施する業務（以下「本業務」という。）は、以下のとおりとする。</w:t>
      </w:r>
    </w:p>
    <w:p>
      <w:pPr>
        <w:pStyle w:val="Compact"/>
        <w:numPr>
          <w:ilvl w:val="1"/>
          <w:numId w:val="1004"/>
        </w:numPr>
      </w:pPr>
      <w:r>
        <w:rPr>
          <w:rStyle w:val="VerbatimChar"/>
        </w:rPr>
        <w:t xml:space="preserve">data\train.csv</w:t>
      </w:r>
      <w:r>
        <w:t xml:space="preserve"> </w:t>
      </w:r>
      <w:r>
        <w:t xml:space="preserve">および</w:t>
      </w:r>
      <w:r>
        <w:t xml:space="preserve"> </w:t>
      </w:r>
      <w:r>
        <w:rPr>
          <w:rStyle w:val="VerbatimChar"/>
          <w:rFonts w:hint="eastAsia"/>
        </w:rPr>
        <w:t xml:space="preserve">data\カラム説明.md</w:t>
      </w:r>
      <w:r>
        <w:t xml:space="preserve"> </w:t>
      </w:r>
      <w:r>
        <w:rPr>
          <w:rFonts w:hint="eastAsia"/>
        </w:rPr>
        <w:t xml:space="preserve">の確認</w:t>
      </w:r>
    </w:p>
    <w:p>
      <w:pPr>
        <w:pStyle w:val="Compact"/>
        <w:numPr>
          <w:ilvl w:val="1"/>
          <w:numId w:val="1004"/>
        </w:numPr>
      </w:pPr>
      <w:r>
        <w:rPr>
          <w:rFonts w:hint="eastAsia"/>
        </w:rPr>
        <w:t xml:space="preserve">データ理解、品質確認、欠損確認、カテゴリ分布確認</w:t>
      </w:r>
    </w:p>
    <w:p>
      <w:pPr>
        <w:pStyle w:val="Compact"/>
        <w:numPr>
          <w:ilvl w:val="1"/>
          <w:numId w:val="1004"/>
        </w:numPr>
      </w:pPr>
      <w:r>
        <w:rPr>
          <w:rFonts w:hint="eastAsia"/>
        </w:rPr>
        <w:t xml:space="preserve">目的変数</w:t>
      </w:r>
      <w:r>
        <w:t xml:space="preserve"> </w:t>
      </w:r>
      <w:r>
        <w:rPr>
          <w:rStyle w:val="VerbatimChar"/>
        </w:rPr>
        <w:t xml:space="preserve">target</w:t>
      </w:r>
      <w:r>
        <w:t xml:space="preserve"> </w:t>
      </w:r>
      <w:r>
        <w:rPr>
          <w:rFonts w:hint="eastAsia"/>
        </w:rPr>
        <w:t xml:space="preserve">を用いた多クラス分類としての分析設計</w:t>
      </w:r>
    </w:p>
    <w:p>
      <w:pPr>
        <w:pStyle w:val="Compact"/>
        <w:numPr>
          <w:ilvl w:val="1"/>
          <w:numId w:val="1004"/>
        </w:numPr>
      </w:pPr>
      <w:r>
        <w:rPr>
          <w:rFonts w:hint="eastAsia"/>
        </w:rPr>
        <w:t xml:space="preserve">前処理方針の策定と標準実装</w:t>
      </w:r>
    </w:p>
    <w:p>
      <w:pPr>
        <w:pStyle w:val="Compact"/>
        <w:numPr>
          <w:ilvl w:val="1"/>
          <w:numId w:val="1004"/>
        </w:numPr>
      </w:pPr>
      <w:r>
        <w:rPr>
          <w:rFonts w:hint="eastAsia"/>
        </w:rPr>
        <w:t xml:space="preserve">ベースライン分析および初期モデル構築</w:t>
      </w:r>
    </w:p>
    <w:p>
      <w:pPr>
        <w:pStyle w:val="Compact"/>
        <w:numPr>
          <w:ilvl w:val="1"/>
          <w:numId w:val="1004"/>
        </w:numPr>
      </w:pPr>
      <w:r>
        <w:rPr>
          <w:rFonts w:hint="eastAsia"/>
        </w:rPr>
        <w:t xml:space="preserve">評価指標による性能評価</w:t>
      </w:r>
    </w:p>
    <w:p>
      <w:pPr>
        <w:pStyle w:val="Compact"/>
        <w:numPr>
          <w:ilvl w:val="1"/>
          <w:numId w:val="1004"/>
        </w:numPr>
      </w:pPr>
      <w:r>
        <w:rPr>
          <w:rFonts w:hint="eastAsia"/>
        </w:rPr>
        <w:t xml:space="preserve">変数重要度、寄与傾向、カテゴリ影響の可視化</w:t>
      </w:r>
    </w:p>
    <w:p>
      <w:pPr>
        <w:pStyle w:val="Compact"/>
        <w:numPr>
          <w:ilvl w:val="1"/>
          <w:numId w:val="1004"/>
        </w:numPr>
      </w:pPr>
      <w:r>
        <w:rPr>
          <w:rStyle w:val="VerbatimChar"/>
        </w:rPr>
        <w:t xml:space="preserve">Gender</w:t>
      </w:r>
      <w:r>
        <w:t xml:space="preserve">、</w:t>
      </w:r>
      <w:r>
        <w:rPr>
          <w:rStyle w:val="VerbatimChar"/>
        </w:rPr>
        <w:t xml:space="preserve">Age</w:t>
      </w:r>
      <w:r>
        <w:t xml:space="preserve">、</w:t>
      </w:r>
      <w:r>
        <w:rPr>
          <w:rStyle w:val="VerbatimChar"/>
        </w:rPr>
        <w:t xml:space="preserve">Country</w:t>
      </w:r>
      <w:r>
        <w:t xml:space="preserve"> </w:t>
      </w:r>
      <w:r>
        <w:rPr>
          <w:rFonts w:hint="eastAsia"/>
        </w:rPr>
        <w:t xml:space="preserve">を含む属性別の分布差または性能差の初期確認</w:t>
      </w:r>
    </w:p>
    <w:p>
      <w:pPr>
        <w:pStyle w:val="Compact"/>
        <w:numPr>
          <w:ilvl w:val="1"/>
          <w:numId w:val="1004"/>
        </w:numPr>
      </w:pPr>
      <w:r>
        <w:rPr>
          <w:rFonts w:hint="eastAsia"/>
        </w:rPr>
        <w:t xml:space="preserve">中間報告および最終報告</w:t>
      </w:r>
    </w:p>
    <w:p>
      <w:pPr>
        <w:pStyle w:val="Compact"/>
        <w:numPr>
          <w:ilvl w:val="1"/>
          <w:numId w:val="1004"/>
        </w:numPr>
      </w:pPr>
      <w:r>
        <w:rPr>
          <w:rFonts w:hint="eastAsia"/>
        </w:rPr>
        <w:t xml:space="preserve">次フェーズに向けた改善論点の整理</w:t>
      </w:r>
    </w:p>
    <w:p>
      <w:pPr>
        <w:pStyle w:val="Compact"/>
        <w:numPr>
          <w:ilvl w:val="0"/>
          <w:numId w:val="1003"/>
        </w:numPr>
      </w:pPr>
      <w:r>
        <w:rPr>
          <w:rFonts w:hint="eastAsia"/>
        </w:rPr>
        <w:t xml:space="preserve">本業務の対象データ、前提および制約は以下のとおりとする。</w:t>
      </w:r>
    </w:p>
    <w:p>
      <w:pPr>
        <w:pStyle w:val="Compact"/>
        <w:numPr>
          <w:ilvl w:val="1"/>
          <w:numId w:val="1005"/>
        </w:numPr>
      </w:pPr>
      <w:r>
        <w:rPr>
          <w:rFonts w:hint="eastAsia"/>
        </w:rPr>
        <w:t xml:space="preserve">分析対象データは</w:t>
      </w:r>
      <w:r>
        <w:t xml:space="preserve"> </w:t>
      </w:r>
      <w:r>
        <w:rPr>
          <w:rStyle w:val="VerbatimChar"/>
        </w:rPr>
        <w:t xml:space="preserve">data\train.csv</w:t>
      </w:r>
      <w:r>
        <w:t xml:space="preserve"> </w:t>
      </w:r>
      <w:r>
        <w:t xml:space="preserve">および</w:t>
      </w:r>
      <w:r>
        <w:t xml:space="preserve"> </w:t>
      </w:r>
      <w:r>
        <w:rPr>
          <w:rStyle w:val="VerbatimChar"/>
          <w:rFonts w:hint="eastAsia"/>
        </w:rPr>
        <w:t xml:space="preserve">data\カラム説明.md</w:t>
      </w:r>
      <w:r>
        <w:t xml:space="preserve"> </w:t>
      </w:r>
      <w:r>
        <w:rPr>
          <w:rFonts w:hint="eastAsia"/>
        </w:rPr>
        <w:t xml:space="preserve">に限定する</w:t>
      </w:r>
    </w:p>
    <w:p>
      <w:pPr>
        <w:pStyle w:val="Compact"/>
        <w:numPr>
          <w:ilvl w:val="1"/>
          <w:numId w:val="1005"/>
        </w:numPr>
      </w:pPr>
      <w:r>
        <w:rPr>
          <w:rStyle w:val="VerbatimChar"/>
        </w:rPr>
        <w:t xml:space="preserve">target</w:t>
      </w:r>
      <w:r>
        <w:t xml:space="preserve"> </w:t>
      </w:r>
      <w:r>
        <w:rPr>
          <w:rFonts w:hint="eastAsia"/>
        </w:rPr>
        <w:t xml:space="preserve">は収入クラス（予測ターゲット）として6クラス分類で扱う</w:t>
      </w:r>
    </w:p>
    <w:p>
      <w:pPr>
        <w:pStyle w:val="Compact"/>
        <w:numPr>
          <w:ilvl w:val="1"/>
          <w:numId w:val="1005"/>
        </w:numPr>
      </w:pPr>
      <w:r>
        <w:rPr>
          <w:rStyle w:val="VerbatimChar"/>
        </w:rPr>
        <w:t xml:space="preserve">id</w:t>
      </w:r>
      <w:r>
        <w:t xml:space="preserve"> </w:t>
      </w:r>
      <w:r>
        <w:rPr>
          <w:rFonts w:hint="eastAsia"/>
        </w:rPr>
        <w:t xml:space="preserve">は識別子であり、説明変数には原則使用しない</w:t>
      </w:r>
    </w:p>
    <w:p>
      <w:pPr>
        <w:pStyle w:val="Compact"/>
        <w:numPr>
          <w:ilvl w:val="1"/>
          <w:numId w:val="1005"/>
        </w:numPr>
      </w:pPr>
      <w:r>
        <w:rPr>
          <w:rFonts w:hint="eastAsia"/>
        </w:rPr>
        <w:t xml:space="preserve">時間粒度を持つデータではないため、時系列分析は対象外とする</w:t>
      </w:r>
    </w:p>
    <w:p>
      <w:pPr>
        <w:pStyle w:val="Compact"/>
        <w:numPr>
          <w:ilvl w:val="1"/>
          <w:numId w:val="1005"/>
        </w:numPr>
      </w:pPr>
      <w:r>
        <w:rPr>
          <w:rStyle w:val="VerbatimChar"/>
        </w:rPr>
        <w:t xml:space="preserve">Gender</w:t>
      </w:r>
      <w:r>
        <w:t xml:space="preserve">、</w:t>
      </w:r>
      <w:r>
        <w:rPr>
          <w:rStyle w:val="VerbatimChar"/>
        </w:rPr>
        <w:t xml:space="preserve">Age</w:t>
      </w:r>
      <w:r>
        <w:t xml:space="preserve">、</w:t>
      </w:r>
      <w:r>
        <w:rPr>
          <w:rStyle w:val="VerbatimChar"/>
        </w:rPr>
        <w:t xml:space="preserve">Country</w:t>
      </w:r>
      <w:r>
        <w:t xml:space="preserve"> </w:t>
      </w:r>
      <w:r>
        <w:rPr>
          <w:rFonts w:hint="eastAsia"/>
        </w:rPr>
        <w:t xml:space="preserve">はセンシティブまたは準センシティブ属性として慎重に扱う</w:t>
      </w:r>
    </w:p>
    <w:p>
      <w:pPr>
        <w:pStyle w:val="Compact"/>
        <w:numPr>
          <w:ilvl w:val="1"/>
          <w:numId w:val="1005"/>
        </w:numPr>
      </w:pPr>
      <w:r>
        <w:rPr>
          <w:rStyle w:val="VerbatimChar"/>
        </w:rPr>
        <w:t xml:space="preserve">Major</w:t>
      </w:r>
      <w:r>
        <w:t xml:space="preserve"> </w:t>
      </w:r>
      <w:r>
        <w:rPr>
          <w:rFonts w:hint="eastAsia"/>
        </w:rPr>
        <w:t xml:space="preserve">の欠損112件、</w:t>
      </w:r>
      <w:r>
        <w:rPr>
          <w:rStyle w:val="VerbatimChar"/>
        </w:rPr>
        <w:t xml:space="preserve">Experience</w:t>
      </w:r>
      <w:r>
        <w:t xml:space="preserve"> </w:t>
      </w:r>
      <w:r>
        <w:rPr>
          <w:rFonts w:hint="eastAsia"/>
        </w:rPr>
        <w:t xml:space="preserve">の欠損55件は削除ではなく処理ルールを定義して対応する</w:t>
      </w:r>
    </w:p>
    <w:p>
      <w:pPr>
        <w:pStyle w:val="Compact"/>
        <w:numPr>
          <w:ilvl w:val="1"/>
          <w:numId w:val="1005"/>
        </w:numPr>
      </w:pPr>
      <w:r>
        <w:rPr>
          <w:rStyle w:val="VerbatimChar"/>
        </w:rPr>
        <w:t xml:space="preserve">target</w:t>
      </w:r>
      <w:r>
        <w:t xml:space="preserve"> </w:t>
      </w:r>
      <w:r>
        <w:rPr>
          <w:rFonts w:hint="eastAsia"/>
        </w:rPr>
        <w:t xml:space="preserve">の上位クラス定義に重複が見えるため、原定義を維持しつつ解釈注意を明記する</w:t>
      </w:r>
    </w:p>
    <w:p>
      <w:pPr>
        <w:pStyle w:val="Compact"/>
        <w:numPr>
          <w:ilvl w:val="0"/>
          <w:numId w:val="1003"/>
        </w:numPr>
      </w:pPr>
      <w:r>
        <w:rPr>
          <w:rFonts w:hint="eastAsia"/>
        </w:rPr>
        <w:t xml:space="preserve">本業務に含まれない事項は以下のとおりとする。</w:t>
      </w:r>
    </w:p>
    <w:p>
      <w:pPr>
        <w:pStyle w:val="Compact"/>
        <w:numPr>
          <w:ilvl w:val="1"/>
          <w:numId w:val="1006"/>
        </w:numPr>
      </w:pPr>
      <w:r>
        <w:rPr>
          <w:rFonts w:hint="eastAsia"/>
        </w:rPr>
        <w:t xml:space="preserve">本データに含まれない項目の追加収集</w:t>
      </w:r>
    </w:p>
    <w:p>
      <w:pPr>
        <w:pStyle w:val="Compact"/>
        <w:numPr>
          <w:ilvl w:val="1"/>
          <w:numId w:val="1006"/>
        </w:numPr>
      </w:pPr>
      <w:r>
        <w:rPr>
          <w:rFonts w:hint="eastAsia"/>
        </w:rPr>
        <w:t xml:space="preserve">本番システム実装、API化、ダッシュボード本番運用</w:t>
      </w:r>
    </w:p>
    <w:p>
      <w:pPr>
        <w:pStyle w:val="Compact"/>
        <w:numPr>
          <w:ilvl w:val="1"/>
          <w:numId w:val="1006"/>
        </w:numPr>
      </w:pPr>
      <w:r>
        <w:rPr>
          <w:rFonts w:hint="eastAsia"/>
        </w:rPr>
        <w:t xml:space="preserve">採用、配置、昇給の自動意思決定ロジック導入</w:t>
      </w:r>
    </w:p>
    <w:p>
      <w:pPr>
        <w:pStyle w:val="Compact"/>
        <w:numPr>
          <w:ilvl w:val="1"/>
          <w:numId w:val="1006"/>
        </w:numPr>
      </w:pPr>
      <w:r>
        <w:rPr>
          <w:rFonts w:hint="eastAsia"/>
        </w:rPr>
        <w:t xml:space="preserve">離職予測モデルの構築</w:t>
      </w:r>
    </w:p>
    <w:p>
      <w:pPr>
        <w:pStyle w:val="Compact"/>
        <w:numPr>
          <w:ilvl w:val="1"/>
          <w:numId w:val="1006"/>
        </w:numPr>
      </w:pPr>
      <w:r>
        <w:t xml:space="preserve">turnover rate、retention rate、time to fill </w:t>
      </w:r>
      <w:r>
        <w:rPr>
          <w:rFonts w:hint="eastAsia"/>
        </w:rPr>
        <w:t xml:space="preserve">の実測算出</w:t>
      </w:r>
    </w:p>
    <w:p>
      <w:pPr>
        <w:pStyle w:val="Compact"/>
        <w:numPr>
          <w:ilvl w:val="1"/>
          <w:numId w:val="1006"/>
        </w:numPr>
      </w:pPr>
      <w:r>
        <w:rPr>
          <w:rFonts w:hint="eastAsia"/>
        </w:rPr>
        <w:t xml:space="preserve">個人別の報酬妥当性を断定する判定</w:t>
      </w:r>
    </w:p>
    <w:p>
      <w:pPr>
        <w:pStyle w:val="Compact"/>
        <w:numPr>
          <w:ilvl w:val="1"/>
          <w:numId w:val="1006"/>
        </w:numPr>
      </w:pPr>
      <w:r>
        <w:rPr>
          <w:rFonts w:hint="eastAsia"/>
        </w:rPr>
        <w:t xml:space="preserve">法務判断、人事制度改定そのもの</w:t>
      </w:r>
    </w:p>
    <w:p>
      <w:pPr>
        <w:pStyle w:val="Compact"/>
        <w:numPr>
          <w:ilvl w:val="1"/>
          <w:numId w:val="1006"/>
        </w:numPr>
      </w:pPr>
      <w:r>
        <w:rPr>
          <w:rStyle w:val="VerbatimChar"/>
        </w:rPr>
        <w:t xml:space="preserve">target</w:t>
      </w:r>
      <w:r>
        <w:t xml:space="preserve"> </w:t>
      </w:r>
      <w:r>
        <w:rPr>
          <w:rFonts w:hint="eastAsia"/>
        </w:rPr>
        <w:t xml:space="preserve">定義の再設計</w:t>
      </w:r>
    </w:p>
    <w:p>
      <w:pPr>
        <w:pStyle w:val="Compact"/>
        <w:numPr>
          <w:ilvl w:val="1"/>
          <w:numId w:val="1006"/>
        </w:numPr>
      </w:pPr>
      <w:r>
        <w:rPr>
          <w:rFonts w:hint="eastAsia"/>
        </w:rPr>
        <w:t xml:space="preserve">想定工数170時間を超える追加分析</w:t>
      </w:r>
    </w:p>
    <w:bookmarkEnd w:id="13"/>
    <w:bookmarkStart w:id="14" w:name="成果物および検収"/>
    <w:p>
      <w:pPr>
        <w:pStyle w:val="Heading2"/>
      </w:pPr>
      <w:r>
        <w:t xml:space="preserve">4. </w:t>
      </w:r>
      <w:r>
        <w:rPr>
          <w:rFonts w:hint="eastAsia"/>
        </w:rPr>
        <w:t xml:space="preserve">成果物および検収</w:t>
      </w:r>
    </w:p>
    <w:p>
      <w:pPr>
        <w:numPr>
          <w:ilvl w:val="0"/>
          <w:numId w:val="1007"/>
        </w:numPr>
      </w:pPr>
      <w:r>
        <w:rPr>
          <w:rFonts w:hint="eastAsia"/>
        </w:rPr>
        <w:t xml:space="preserve">本業務の成果物は、以下のとおりとする。</w:t>
      </w:r>
    </w:p>
    <w:p>
      <w:pPr>
        <w:pStyle w:val="Compact"/>
        <w:numPr>
          <w:ilvl w:val="1"/>
          <w:numId w:val="1008"/>
        </w:numPr>
      </w:pPr>
      <w:r>
        <w:rPr>
          <w:rFonts w:hint="eastAsia"/>
        </w:rPr>
        <w:t xml:space="preserve">プロジェクト概要書</w:t>
      </w:r>
      <w:r>
        <w:br/>
      </w:r>
    </w:p>
    <w:p>
      <w:pPr>
        <w:pStyle w:val="Compact"/>
        <w:numPr>
          <w:ilvl w:val="1"/>
          <w:numId w:val="1008"/>
        </w:numPr>
      </w:pPr>
      <w:r>
        <w:rPr>
          <w:rFonts w:hint="eastAsia"/>
        </w:rPr>
        <w:t xml:space="preserve">分析計画書</w:t>
      </w:r>
      <w:r>
        <w:br/>
      </w:r>
    </w:p>
    <w:p>
      <w:pPr>
        <w:pStyle w:val="Compact"/>
        <w:numPr>
          <w:ilvl w:val="1"/>
          <w:numId w:val="1008"/>
        </w:numPr>
      </w:pPr>
      <w:r>
        <w:rPr>
          <w:rFonts w:hint="eastAsia"/>
        </w:rPr>
        <w:t xml:space="preserve">スケジュール表</w:t>
      </w:r>
      <w:r>
        <w:br/>
      </w:r>
    </w:p>
    <w:p>
      <w:pPr>
        <w:pStyle w:val="Compact"/>
        <w:numPr>
          <w:ilvl w:val="1"/>
          <w:numId w:val="1008"/>
        </w:numPr>
      </w:pPr>
      <w:r>
        <w:rPr>
          <w:rFonts w:hint="eastAsia"/>
        </w:rPr>
        <w:t xml:space="preserve">議事録一式</w:t>
      </w:r>
      <w:r>
        <w:br/>
      </w:r>
    </w:p>
    <w:p>
      <w:pPr>
        <w:pStyle w:val="Compact"/>
        <w:numPr>
          <w:ilvl w:val="1"/>
          <w:numId w:val="1008"/>
        </w:numPr>
      </w:pPr>
      <w:r>
        <w:rPr>
          <w:rFonts w:hint="eastAsia"/>
        </w:rPr>
        <w:t xml:space="preserve">中間報告書</w:t>
      </w:r>
      <w:r>
        <w:br/>
      </w:r>
    </w:p>
    <w:p>
      <w:pPr>
        <w:pStyle w:val="Compact"/>
        <w:numPr>
          <w:ilvl w:val="1"/>
          <w:numId w:val="1008"/>
        </w:numPr>
      </w:pPr>
      <w:r>
        <w:rPr>
          <w:rFonts w:hint="eastAsia"/>
        </w:rPr>
        <w:t xml:space="preserve">最終報告書</w:t>
      </w:r>
      <w:r>
        <w:br/>
      </w:r>
    </w:p>
    <w:p>
      <w:pPr>
        <w:pStyle w:val="Compact"/>
        <w:numPr>
          <w:ilvl w:val="1"/>
          <w:numId w:val="1008"/>
        </w:numPr>
      </w:pPr>
      <w:r>
        <w:rPr>
          <w:rFonts w:hint="eastAsia"/>
        </w:rPr>
        <w:t xml:space="preserve">分析成果物一式（前処理仕様、評価結果表、可視化図表、再現可能な分析スクリプトまたはノートブック、変数影響の要約を含む。）</w:t>
      </w:r>
    </w:p>
    <w:p>
      <w:pPr>
        <w:numPr>
          <w:ilvl w:val="0"/>
          <w:numId w:val="1007"/>
        </w:numPr>
      </w:pPr>
      <w:r>
        <w:rPr>
          <w:rFonts w:hint="eastAsia"/>
        </w:rPr>
        <w:t xml:space="preserve">乙は、契約期間内に最終成果物を甲へ提出する。</w:t>
      </w:r>
    </w:p>
    <w:p>
      <w:pPr>
        <w:numPr>
          <w:ilvl w:val="0"/>
          <w:numId w:val="1007"/>
        </w:numPr>
      </w:pPr>
      <w:r>
        <w:rPr>
          <w:rFonts w:hint="eastAsia"/>
        </w:rPr>
        <w:t xml:space="preserve">甲は、最終成果物の提出日から5営業日以内に検収を行い、合否を乙へ通知するものとする。甲が当該期間内に合理的根拠を付した不合格通知を行わない場合、当該成果物は検収に合格したものとみなす。</w:t>
      </w:r>
    </w:p>
    <w:p>
      <w:pPr>
        <w:numPr>
          <w:ilvl w:val="0"/>
          <w:numId w:val="1007"/>
        </w:numPr>
      </w:pPr>
      <w:r>
        <w:rPr>
          <w:rFonts w:hint="eastAsia"/>
        </w:rPr>
        <w:t xml:space="preserve">甲が不合格通知を行った場合、乙は不合格理由が本契約の業務範囲内に属する限り、合理的期間内に補正または説明対応を行い、再提出するものとする。</w:t>
      </w:r>
    </w:p>
    <w:p>
      <w:pPr>
        <w:numPr>
          <w:ilvl w:val="0"/>
          <w:numId w:val="1007"/>
        </w:numPr>
      </w:pPr>
      <w:r>
        <w:rPr>
          <w:rFonts w:hint="eastAsia"/>
        </w:rPr>
        <w:t xml:space="preserve">本契約は準委任型の時間課金契約であり、検収は成果物の有無および本契約上合意した業務実施内容との整合確認を目的とするものであって、特定の予測精度、業務成果または制度判断結果を保証するものではない。</w:t>
      </w:r>
    </w:p>
    <w:bookmarkEnd w:id="14"/>
    <w:bookmarkStart w:id="15" w:name="契約期間"/>
    <w:p>
      <w:pPr>
        <w:pStyle w:val="Heading2"/>
      </w:pPr>
      <w:r>
        <w:t xml:space="preserve">5. </w:t>
      </w:r>
      <w:r>
        <w:rPr>
          <w:rFonts w:hint="eastAsia"/>
        </w:rPr>
        <w:t xml:space="preserve">契約期間</w:t>
      </w:r>
    </w:p>
    <w:p>
      <w:pPr>
        <w:numPr>
          <w:ilvl w:val="0"/>
          <w:numId w:val="1009"/>
        </w:numPr>
      </w:pPr>
      <w:r>
        <w:rPr>
          <w:rFonts w:hint="eastAsia"/>
        </w:rPr>
        <w:t xml:space="preserve">本契約の締結日および効力発生日は、いずれも2025-08-18とする。</w:t>
      </w:r>
    </w:p>
    <w:p>
      <w:pPr>
        <w:numPr>
          <w:ilvl w:val="0"/>
          <w:numId w:val="1009"/>
        </w:numPr>
      </w:pPr>
      <w:r>
        <w:rPr>
          <w:rFonts w:hint="eastAsia"/>
        </w:rPr>
        <w:t xml:space="preserve">本契約の契約期間は、2025-08-18から2025-09-29までの6週間とする。</w:t>
      </w:r>
    </w:p>
    <w:p>
      <w:pPr>
        <w:numPr>
          <w:ilvl w:val="0"/>
          <w:numId w:val="1009"/>
        </w:numPr>
      </w:pPr>
      <w:r>
        <w:rPr>
          <w:rFonts w:hint="eastAsia"/>
        </w:rPr>
        <w:t xml:space="preserve">契約期間満了後であっても、第6条、第7条、第8条、第10条、第11条および第12条の規定は、有効に存続する。</w:t>
      </w:r>
    </w:p>
    <w:bookmarkEnd w:id="15"/>
    <w:bookmarkStart w:id="16" w:name="報酬および支払条件"/>
    <w:p>
      <w:pPr>
        <w:pStyle w:val="Heading2"/>
      </w:pPr>
      <w:r>
        <w:t xml:space="preserve">6. </w:t>
      </w:r>
      <w:r>
        <w:rPr>
          <w:rFonts w:hint="eastAsia"/>
        </w:rPr>
        <w:t xml:space="preserve">報酬および支払条件</w:t>
      </w:r>
    </w:p>
    <w:p>
      <w:pPr>
        <w:numPr>
          <w:ilvl w:val="0"/>
          <w:numId w:val="1010"/>
        </w:numPr>
      </w:pPr>
      <w:r>
        <w:rPr>
          <w:rFonts w:hint="eastAsia"/>
        </w:rPr>
        <w:t xml:space="preserve">本契約の料金モデルは、time_and_materials</w:t>
      </w:r>
      <w:r>
        <w:t xml:space="preserve"> </w:t>
      </w:r>
      <w:r>
        <w:rPr>
          <w:rFonts w:hint="eastAsia"/>
        </w:rPr>
        <w:t xml:space="preserve">とし、請求単位は</w:t>
      </w:r>
      <w:r>
        <w:t xml:space="preserve"> </w:t>
      </w:r>
      <w:r>
        <w:rPr>
          <w:rFonts w:hint="eastAsia"/>
        </w:rPr>
        <w:t xml:space="preserve">hour、通貨は</w:t>
      </w:r>
      <w:r>
        <w:t xml:space="preserve"> JPY とする。</w:t>
      </w:r>
    </w:p>
    <w:p>
      <w:pPr>
        <w:numPr>
          <w:ilvl w:val="0"/>
          <w:numId w:val="1010"/>
        </w:numPr>
      </w:pPr>
      <w:r>
        <w:rPr>
          <w:rFonts w:hint="eastAsia"/>
        </w:rPr>
        <w:t xml:space="preserve">乙の時間単価は、1時間当たり25,000円（消費税別）とする。</w:t>
      </w:r>
    </w:p>
    <w:p>
      <w:pPr>
        <w:numPr>
          <w:ilvl w:val="0"/>
          <w:numId w:val="1010"/>
        </w:numPr>
      </w:pPr>
      <w:r>
        <w:rPr>
          <w:rFonts w:hint="eastAsia"/>
        </w:rPr>
        <w:t xml:space="preserve">本契約における見込工数は170時間、見込金額は税抜4,250,000円、消費税425,000円、税込4,675,000円とする。なお、これらは見込額であり、本契約の報酬総額を確定させるものではなく、実際の精算は実績工数に基づき行う。</w:t>
      </w:r>
    </w:p>
    <w:p>
      <w:pPr>
        <w:numPr>
          <w:ilvl w:val="0"/>
          <w:numId w:val="1010"/>
        </w:numPr>
      </w:pPr>
      <w:r>
        <w:rPr>
          <w:rFonts w:hint="eastAsia"/>
        </w:rPr>
        <w:t xml:space="preserve">工数計上の丸め単位は30分とし、各作業時間は30分単位で切り上げ又は切り捨てではなく、30分未満を0.5時間、30分超60分未満を1.0時間として0.5時間単位で計上するものとする。乙は、作業内容、作業日、作業時間および担当者を記載した工数記録を作成し、甲の求めがある場合は提示する。</w:t>
      </w:r>
    </w:p>
    <w:p>
      <w:pPr>
        <w:numPr>
          <w:ilvl w:val="0"/>
          <w:numId w:val="1010"/>
        </w:numPr>
      </w:pPr>
      <w:r>
        <w:rPr>
          <w:rFonts w:hint="eastAsia"/>
        </w:rPr>
        <w:t xml:space="preserve">精算方式は、実績工数に基づき、案件完了後に最終成果物の検収を経て一括精算するものとする。</w:t>
      </w:r>
    </w:p>
    <w:p>
      <w:pPr>
        <w:numPr>
          <w:ilvl w:val="0"/>
          <w:numId w:val="1010"/>
        </w:numPr>
      </w:pPr>
      <w:r>
        <w:rPr>
          <w:rFonts w:hint="eastAsia"/>
        </w:rPr>
        <w:t xml:space="preserve">支払条件は以下のとおりとする。</w:t>
      </w:r>
    </w:p>
    <w:tbl>
      <w:tblPr>
        <w:tblStyle w:val="Table"/>
        <w:tblW w:type="pct" w:w="5000"/>
        <w:tblLayout w:type="fixed"/>
        <w:tblLook w:firstRow="1" w:lastRow="0" w:firstColumn="0" w:lastColumn="0" w:noHBand="0" w:noVBand="0" w:val="0020"/>
      </w:tblPr>
      <w:tblGrid>
        <w:gridCol w:w="848"/>
        <w:gridCol w:w="848"/>
        <w:gridCol w:w="1131"/>
        <w:gridCol w:w="1131"/>
        <w:gridCol w:w="1131"/>
        <w:gridCol w:w="1131"/>
        <w:gridCol w:w="848"/>
        <w:gridCol w:w="848"/>
      </w:tblGrid>
      <w:tr>
        <w:trPr>
          <w:tblHeader w:val="on"/>
        </w:trPr>
        <w:tc>
          <w:tcPr/>
          <w:p>
            <w:pPr>
              <w:pStyle w:val="Compact"/>
            </w:pPr>
            <w:r>
              <w:rPr>
                <w:rFonts w:hint="eastAsia"/>
              </w:rPr>
              <w:t xml:space="preserve">支払回</w:t>
            </w:r>
          </w:p>
        </w:tc>
        <w:tc>
          <w:tcPr/>
          <w:p>
            <w:pPr>
              <w:pStyle w:val="Compact"/>
            </w:pPr>
            <w:r>
              <w:t xml:space="preserve">マイルストーン</w:t>
            </w:r>
          </w:p>
        </w:tc>
        <w:tc>
          <w:tcPr/>
          <w:p>
            <w:pPr>
              <w:pStyle w:val="Compact"/>
              <w:jc w:val="right"/>
            </w:pPr>
            <w:r>
              <w:rPr>
                <w:rFonts w:hint="eastAsia"/>
              </w:rPr>
              <w:t xml:space="preserve">比率</w:t>
            </w:r>
          </w:p>
        </w:tc>
        <w:tc>
          <w:tcPr/>
          <w:p>
            <w:pPr>
              <w:pStyle w:val="Compact"/>
              <w:jc w:val="right"/>
            </w:pPr>
            <w:r>
              <w:rPr>
                <w:rFonts w:hint="eastAsia"/>
              </w:rPr>
              <w:t xml:space="preserve">金額（税抜）</w:t>
            </w:r>
          </w:p>
        </w:tc>
        <w:tc>
          <w:tcPr/>
          <w:p>
            <w:pPr>
              <w:pStyle w:val="Compact"/>
              <w:jc w:val="right"/>
            </w:pPr>
            <w:r>
              <w:rPr>
                <w:rFonts w:hint="eastAsia"/>
              </w:rPr>
              <w:t xml:space="preserve">消費税額</w:t>
            </w:r>
          </w:p>
        </w:tc>
        <w:tc>
          <w:tcPr/>
          <w:p>
            <w:pPr>
              <w:pStyle w:val="Compact"/>
              <w:jc w:val="right"/>
            </w:pPr>
            <w:r>
              <w:rPr>
                <w:rFonts w:hint="eastAsia"/>
              </w:rPr>
              <w:t xml:space="preserve">金額（税込）</w:t>
            </w:r>
          </w:p>
        </w:tc>
        <w:tc>
          <w:tcPr/>
          <w:p>
            <w:pPr>
              <w:pStyle w:val="Compact"/>
            </w:pPr>
            <w:r>
              <w:rPr>
                <w:rFonts w:hint="eastAsia"/>
              </w:rPr>
              <w:t xml:space="preserve">支払条件</w:t>
            </w:r>
          </w:p>
        </w:tc>
        <w:tc>
          <w:tcPr/>
          <w:p>
            <w:pPr>
              <w:pStyle w:val="Compact"/>
            </w:pPr>
            <w:r>
              <w:rPr>
                <w:rFonts w:hint="eastAsia"/>
              </w:rPr>
              <w:t xml:space="preserve">支払期日</w:t>
            </w:r>
          </w:p>
        </w:tc>
      </w:tr>
      <w:tr>
        <w:tc>
          <w:tcPr/>
          <w:p>
            <w:pPr>
              <w:pStyle w:val="Compact"/>
            </w:pPr>
            <w:r>
              <w:t xml:space="preserve">1</w:t>
            </w:r>
          </w:p>
        </w:tc>
        <w:tc>
          <w:tcPr/>
          <w:p>
            <w:pPr>
              <w:pStyle w:val="Compact"/>
            </w:pPr>
            <w:r>
              <w:rPr>
                <w:rFonts w:hint="eastAsia"/>
              </w:rPr>
              <w:t xml:space="preserve">最終一括精算</w:t>
            </w:r>
          </w:p>
        </w:tc>
        <w:tc>
          <w:tcPr/>
          <w:p>
            <w:pPr>
              <w:pStyle w:val="Compact"/>
              <w:jc w:val="right"/>
            </w:pPr>
            <w:r>
              <w:t xml:space="preserve">100%</w:t>
            </w:r>
          </w:p>
        </w:tc>
        <w:tc>
          <w:tcPr/>
          <w:p>
            <w:pPr>
              <w:pStyle w:val="Compact"/>
              <w:jc w:val="right"/>
            </w:pPr>
            <w:r>
              <w:rPr>
                <w:rFonts w:hint="eastAsia"/>
              </w:rPr>
              <w:t xml:space="preserve">4,250,000円（見込）</w:t>
            </w:r>
          </w:p>
        </w:tc>
        <w:tc>
          <w:tcPr/>
          <w:p>
            <w:pPr>
              <w:pStyle w:val="Compact"/>
              <w:jc w:val="right"/>
            </w:pPr>
            <w:r>
              <w:rPr>
                <w:rFonts w:hint="eastAsia"/>
              </w:rPr>
              <w:t xml:space="preserve">425,000円（見込）</w:t>
            </w:r>
          </w:p>
        </w:tc>
        <w:tc>
          <w:tcPr/>
          <w:p>
            <w:pPr>
              <w:pStyle w:val="Compact"/>
              <w:jc w:val="right"/>
            </w:pPr>
            <w:r>
              <w:rPr>
                <w:rFonts w:hint="eastAsia"/>
              </w:rPr>
              <w:t xml:space="preserve">4,675,000円（見込）</w:t>
            </w:r>
          </w:p>
        </w:tc>
        <w:tc>
          <w:tcPr/>
          <w:p>
            <w:pPr>
              <w:pStyle w:val="Compact"/>
            </w:pPr>
            <w:r>
              <w:rPr>
                <w:rFonts w:hint="eastAsia"/>
              </w:rPr>
              <w:t xml:space="preserve">最終成果物の検収完了後5営業日以内</w:t>
            </w:r>
          </w:p>
        </w:tc>
        <w:tc>
          <w:tcPr/>
          <w:p>
            <w:pPr>
              <w:pStyle w:val="Compact"/>
            </w:pPr>
            <w:r>
              <w:t xml:space="preserve">2025-10-06</w:t>
            </w:r>
          </w:p>
        </w:tc>
      </w:tr>
    </w:tbl>
    <w:p>
      <w:pPr>
        <w:pStyle w:val="Compact"/>
        <w:numPr>
          <w:ilvl w:val="0"/>
          <w:numId w:val="1011"/>
        </w:numPr>
      </w:pPr>
      <w:r>
        <w:rPr>
          <w:rFonts w:hint="eastAsia"/>
        </w:rPr>
        <w:t xml:space="preserve">乙は、前項の検収完了後、実績工数に基づく請求書を甲に発行する。甲は、請求書受領後、前項記載の支払期日までに乙の指定する銀行口座へ振込送金の方法により支払うものとする。振込手数料は甲の負担とする。</w:t>
      </w:r>
    </w:p>
    <w:bookmarkEnd w:id="16"/>
    <w:bookmarkStart w:id="17" w:name="知的財産権"/>
    <w:p>
      <w:pPr>
        <w:pStyle w:val="Heading2"/>
      </w:pPr>
      <w:r>
        <w:t xml:space="preserve">7. </w:t>
      </w:r>
      <w:r>
        <w:rPr>
          <w:rFonts w:hint="eastAsia"/>
        </w:rPr>
        <w:t xml:space="preserve">知的財産権</w:t>
      </w:r>
    </w:p>
    <w:p>
      <w:pPr>
        <w:numPr>
          <w:ilvl w:val="0"/>
          <w:numId w:val="1012"/>
        </w:numPr>
      </w:pPr>
      <w:r>
        <w:rPr>
          <w:rFonts w:hint="eastAsia"/>
        </w:rPr>
        <w:t xml:space="preserve">甲が乙に提供するデータ、資料、情報および既存の知的財産権は、甲または正当な権利者に帰属する。</w:t>
      </w:r>
    </w:p>
    <w:p>
      <w:pPr>
        <w:numPr>
          <w:ilvl w:val="0"/>
          <w:numId w:val="1012"/>
        </w:numPr>
      </w:pPr>
      <w:r>
        <w:rPr>
          <w:rFonts w:hint="eastAsia"/>
        </w:rPr>
        <w:t xml:space="preserve">乙が本業務の遂行にあたり新たに作成した最終報告書、中間報告書、分析計画書、可視化図表、前処理仕様書、評価結果表その他本契約に基づく成果物に係る著作権（著作権法第27条および第28条の権利を含む。）は、甲が本契約に基づく報酬を完済した時点で甲に移転するものとする。</w:t>
      </w:r>
    </w:p>
    <w:p>
      <w:pPr>
        <w:numPr>
          <w:ilvl w:val="0"/>
          <w:numId w:val="1012"/>
        </w:numPr>
      </w:pPr>
      <w:r>
        <w:rPr>
          <w:rFonts w:hint="eastAsia"/>
        </w:rPr>
        <w:t xml:space="preserve">前項にかかわらず、乙が本業務遂行前から保有するノウハウ、分析手法、テンプレート、汎用的なプログラム、ライブラリ、フレームワークおよび再利用可能な技術要素に関する権利は乙に留保される。</w:t>
      </w:r>
    </w:p>
    <w:p>
      <w:pPr>
        <w:numPr>
          <w:ilvl w:val="0"/>
          <w:numId w:val="1012"/>
        </w:numPr>
      </w:pPr>
      <w:r>
        <w:rPr>
          <w:rFonts w:hint="eastAsia"/>
        </w:rPr>
        <w:t xml:space="preserve">乙は、甲に対し、前項の乙留保部分を含め、甲が成果物を自己の業務の範囲で利用するために必要な非独占的かつ無償の利用権を付与する。</w:t>
      </w:r>
    </w:p>
    <w:p>
      <w:pPr>
        <w:numPr>
          <w:ilvl w:val="0"/>
          <w:numId w:val="1012"/>
        </w:numPr>
      </w:pPr>
      <w:r>
        <w:rPr>
          <w:rFonts w:hint="eastAsia"/>
        </w:rPr>
        <w:t xml:space="preserve">乙は、甲の事前の書面承諾なく、甲の提供データを他用途に利用してはならない。</w:t>
      </w:r>
    </w:p>
    <w:bookmarkEnd w:id="17"/>
    <w:bookmarkStart w:id="18" w:name="秘密保持"/>
    <w:p>
      <w:pPr>
        <w:pStyle w:val="Heading2"/>
      </w:pPr>
      <w:r>
        <w:t xml:space="preserve">8. </w:t>
      </w:r>
      <w:r>
        <w:rPr>
          <w:rFonts w:hint="eastAsia"/>
        </w:rPr>
        <w:t xml:space="preserve">秘密保持</w:t>
      </w:r>
    </w:p>
    <w:p>
      <w:pPr>
        <w:numPr>
          <w:ilvl w:val="0"/>
          <w:numId w:val="1013"/>
        </w:numPr>
      </w:pPr>
      <w:r>
        <w:rPr>
          <w:rFonts w:hint="eastAsia"/>
        </w:rPr>
        <w:t xml:space="preserve">甲および乙は、本契約に関連して相手方から開示又は提供を受けた技術上、営業上、業務上その他一切の非公知情報ならびに個人情報、報酬関連データおよびセンシティブ又は準センシティブ属性に関する情報を秘密情報として取り扱うものとする。</w:t>
      </w:r>
    </w:p>
    <w:p>
      <w:pPr>
        <w:numPr>
          <w:ilvl w:val="0"/>
          <w:numId w:val="1013"/>
        </w:numPr>
      </w:pPr>
      <w:r>
        <w:rPr>
          <w:rFonts w:hint="eastAsia"/>
        </w:rPr>
        <w:t xml:space="preserve">甲および乙は、秘密情報を本契約の履行目的の範囲内でのみ使用し、相手方の事前の書面承諾なく第三者に開示又は漏えいしてはならない。</w:t>
      </w:r>
    </w:p>
    <w:p>
      <w:pPr>
        <w:numPr>
          <w:ilvl w:val="0"/>
          <w:numId w:val="1013"/>
        </w:numPr>
      </w:pPr>
      <w:r>
        <w:rPr>
          <w:rFonts w:hint="eastAsia"/>
        </w:rPr>
        <w:t xml:space="preserve">乙は、個人情報・報酬関連データへのアクセス権を必要最小限に制限し、</w:t>
      </w:r>
      <w:r>
        <w:rPr>
          <w:rStyle w:val="VerbatimChar"/>
        </w:rPr>
        <w:t xml:space="preserve">Gender</w:t>
      </w:r>
      <w:r>
        <w:t xml:space="preserve">、</w:t>
      </w:r>
      <w:r>
        <w:rPr>
          <w:rStyle w:val="VerbatimChar"/>
        </w:rPr>
        <w:t xml:space="preserve">Age</w:t>
      </w:r>
      <w:r>
        <w:t xml:space="preserve">、</w:t>
      </w:r>
      <w:r>
        <w:rPr>
          <w:rStyle w:val="VerbatimChar"/>
        </w:rPr>
        <w:t xml:space="preserve">Country</w:t>
      </w:r>
      <w:r>
        <w:t xml:space="preserve"> </w:t>
      </w:r>
      <w:r>
        <w:rPr>
          <w:rFonts w:hint="eastAsia"/>
        </w:rPr>
        <w:t xml:space="preserve">等の属性の利用について、差別的解釈を避け、文書化を慎重に行うものとする。</w:t>
      </w:r>
    </w:p>
    <w:p>
      <w:pPr>
        <w:numPr>
          <w:ilvl w:val="0"/>
          <w:numId w:val="1013"/>
        </w:numPr>
      </w:pPr>
      <w:r>
        <w:rPr>
          <w:rFonts w:hint="eastAsia"/>
        </w:rPr>
        <w:t xml:space="preserve">前各項にかかわらず、以下の情報は秘密情報に含まれない。</w:t>
      </w:r>
    </w:p>
    <w:p>
      <w:pPr>
        <w:pStyle w:val="Compact"/>
        <w:numPr>
          <w:ilvl w:val="1"/>
          <w:numId w:val="1014"/>
        </w:numPr>
      </w:pPr>
      <w:r>
        <w:rPr>
          <w:rFonts w:hint="eastAsia"/>
        </w:rPr>
        <w:t xml:space="preserve">開示時に既に公知であった情報</w:t>
      </w:r>
      <w:r>
        <w:br/>
      </w:r>
    </w:p>
    <w:p>
      <w:pPr>
        <w:pStyle w:val="Compact"/>
        <w:numPr>
          <w:ilvl w:val="1"/>
          <w:numId w:val="1014"/>
        </w:numPr>
      </w:pPr>
      <w:r>
        <w:rPr>
          <w:rFonts w:hint="eastAsia"/>
        </w:rPr>
        <w:t xml:space="preserve">開示後、受領当事者の責によらず公知となった情報</w:t>
      </w:r>
      <w:r>
        <w:br/>
      </w:r>
    </w:p>
    <w:p>
      <w:pPr>
        <w:pStyle w:val="Compact"/>
        <w:numPr>
          <w:ilvl w:val="1"/>
          <w:numId w:val="1014"/>
        </w:numPr>
      </w:pPr>
      <w:r>
        <w:rPr>
          <w:rFonts w:hint="eastAsia"/>
        </w:rPr>
        <w:t xml:space="preserve">開示前に受領当事者が適法に保有していた情報</w:t>
      </w:r>
      <w:r>
        <w:br/>
      </w:r>
    </w:p>
    <w:p>
      <w:pPr>
        <w:pStyle w:val="Compact"/>
        <w:numPr>
          <w:ilvl w:val="1"/>
          <w:numId w:val="1014"/>
        </w:numPr>
      </w:pPr>
      <w:r>
        <w:rPr>
          <w:rFonts w:hint="eastAsia"/>
        </w:rPr>
        <w:t xml:space="preserve">正当な権限を有する第三者から適法に取得した情報</w:t>
      </w:r>
      <w:r>
        <w:br/>
      </w:r>
    </w:p>
    <w:p>
      <w:pPr>
        <w:pStyle w:val="Compact"/>
        <w:numPr>
          <w:ilvl w:val="1"/>
          <w:numId w:val="1014"/>
        </w:numPr>
      </w:pPr>
      <w:r>
        <w:rPr>
          <w:rFonts w:hint="eastAsia"/>
        </w:rPr>
        <w:t xml:space="preserve">法令または裁判所、行政機関その他権限ある公的機関の命令により開示が義務付けられた情報</w:t>
      </w:r>
    </w:p>
    <w:p>
      <w:pPr>
        <w:numPr>
          <w:ilvl w:val="0"/>
          <w:numId w:val="1013"/>
        </w:numPr>
      </w:pPr>
      <w:r>
        <w:rPr>
          <w:rFonts w:hint="eastAsia"/>
        </w:rPr>
        <w:t xml:space="preserve">本条の義務は、本契約終了後3年間存続する。</w:t>
      </w:r>
    </w:p>
    <w:bookmarkEnd w:id="18"/>
    <w:bookmarkStart w:id="19" w:name="再委託"/>
    <w:p>
      <w:pPr>
        <w:pStyle w:val="Heading2"/>
      </w:pPr>
      <w:r>
        <w:t xml:space="preserve">9. </w:t>
      </w:r>
      <w:r>
        <w:rPr>
          <w:rFonts w:hint="eastAsia"/>
        </w:rPr>
        <w:t xml:space="preserve">再委託</w:t>
      </w:r>
    </w:p>
    <w:p>
      <w:pPr>
        <w:numPr>
          <w:ilvl w:val="0"/>
          <w:numId w:val="1015"/>
        </w:numPr>
      </w:pPr>
      <w:r>
        <w:rPr>
          <w:rFonts w:hint="eastAsia"/>
        </w:rPr>
        <w:t xml:space="preserve">乙は、本業務の全部を第三者に再委託してはならない。</w:t>
      </w:r>
    </w:p>
    <w:p>
      <w:pPr>
        <w:numPr>
          <w:ilvl w:val="0"/>
          <w:numId w:val="1015"/>
        </w:numPr>
      </w:pPr>
      <w:r>
        <w:rPr>
          <w:rFonts w:hint="eastAsia"/>
        </w:rPr>
        <w:t xml:space="preserve">乙が本業務の一部を再委託する必要がある場合、事前に再委託先、再委託範囲および必要性を明示のうえ、甲の書面承諾を得なければならない。</w:t>
      </w:r>
    </w:p>
    <w:p>
      <w:pPr>
        <w:numPr>
          <w:ilvl w:val="0"/>
          <w:numId w:val="1015"/>
        </w:numPr>
      </w:pPr>
      <w:r>
        <w:rPr>
          <w:rFonts w:hint="eastAsia"/>
        </w:rPr>
        <w:t xml:space="preserve">乙は、再委託先に対して本契約と同等以上の秘密保持義務、個人情報保護義務および安全管理義務を課し、再委託先の行為について自ら責任を負う。</w:t>
      </w:r>
    </w:p>
    <w:bookmarkEnd w:id="19"/>
    <w:bookmarkStart w:id="20" w:name="解除"/>
    <w:p>
      <w:pPr>
        <w:pStyle w:val="Heading2"/>
      </w:pPr>
      <w:r>
        <w:t xml:space="preserve">10. </w:t>
      </w:r>
      <w:r>
        <w:rPr>
          <w:rFonts w:hint="eastAsia"/>
        </w:rPr>
        <w:t xml:space="preserve">解除</w:t>
      </w:r>
    </w:p>
    <w:p>
      <w:pPr>
        <w:numPr>
          <w:ilvl w:val="0"/>
          <w:numId w:val="1016"/>
        </w:numPr>
      </w:pPr>
      <w:r>
        <w:rPr>
          <w:rFonts w:hint="eastAsia"/>
        </w:rPr>
        <w:t xml:space="preserve">甲または乙は、相手方が本契約に違反し、相当期間を定めて是正を催告したにもかかわらず当該違反が是正されないときは、本契約の全部または一部を解除することができる。</w:t>
      </w:r>
    </w:p>
    <w:p>
      <w:pPr>
        <w:numPr>
          <w:ilvl w:val="0"/>
          <w:numId w:val="1016"/>
        </w:numPr>
      </w:pPr>
      <w:r>
        <w:rPr>
          <w:rFonts w:hint="eastAsia"/>
        </w:rPr>
        <w:t xml:space="preserve">甲または乙は、相手方に次の各号の一に該当する事由が生じた場合、何らの催告を要せず直ちに本契約を解除することができる。</w:t>
      </w:r>
    </w:p>
    <w:p>
      <w:pPr>
        <w:pStyle w:val="Compact"/>
        <w:numPr>
          <w:ilvl w:val="1"/>
          <w:numId w:val="1017"/>
        </w:numPr>
      </w:pPr>
      <w:r>
        <w:rPr>
          <w:rFonts w:hint="eastAsia"/>
        </w:rPr>
        <w:t xml:space="preserve">支払停止または支払不能となったとき</w:t>
      </w:r>
      <w:r>
        <w:br/>
      </w:r>
    </w:p>
    <w:p>
      <w:pPr>
        <w:pStyle w:val="Compact"/>
        <w:numPr>
          <w:ilvl w:val="1"/>
          <w:numId w:val="1017"/>
        </w:numPr>
      </w:pPr>
      <w:r>
        <w:rPr>
          <w:rFonts w:hint="eastAsia"/>
        </w:rPr>
        <w:t xml:space="preserve">破産手続開始、民事再生手続開始、会社更生手続開始、特別清算開始その他これらに類する手続開始の申立てがあったとき</w:t>
      </w:r>
      <w:r>
        <w:br/>
      </w:r>
    </w:p>
    <w:p>
      <w:pPr>
        <w:pStyle w:val="Compact"/>
        <w:numPr>
          <w:ilvl w:val="1"/>
          <w:numId w:val="1017"/>
        </w:numPr>
      </w:pPr>
      <w:r>
        <w:rPr>
          <w:rFonts w:hint="eastAsia"/>
        </w:rPr>
        <w:t xml:space="preserve">差押え、仮差押え、仮処分、強制執行または競売の申立てを受けたとき</w:t>
      </w:r>
      <w:r>
        <w:br/>
      </w:r>
    </w:p>
    <w:p>
      <w:pPr>
        <w:pStyle w:val="Compact"/>
        <w:numPr>
          <w:ilvl w:val="1"/>
          <w:numId w:val="1017"/>
        </w:numPr>
      </w:pPr>
      <w:r>
        <w:rPr>
          <w:rFonts w:hint="eastAsia"/>
        </w:rPr>
        <w:t xml:space="preserve">公租公課の滞納処分を受けたとき</w:t>
      </w:r>
      <w:r>
        <w:br/>
      </w:r>
    </w:p>
    <w:p>
      <w:pPr>
        <w:pStyle w:val="Compact"/>
        <w:numPr>
          <w:ilvl w:val="1"/>
          <w:numId w:val="1017"/>
        </w:numPr>
      </w:pPr>
      <w:r>
        <w:rPr>
          <w:rFonts w:hint="eastAsia"/>
        </w:rPr>
        <w:t xml:space="preserve">監督官庁から営業停止、営業取消その他重大な処分を受けたとき</w:t>
      </w:r>
      <w:r>
        <w:br/>
      </w:r>
    </w:p>
    <w:p>
      <w:pPr>
        <w:pStyle w:val="Compact"/>
        <w:numPr>
          <w:ilvl w:val="1"/>
          <w:numId w:val="1017"/>
        </w:numPr>
      </w:pPr>
      <w:r>
        <w:rPr>
          <w:rFonts w:hint="eastAsia"/>
        </w:rPr>
        <w:t xml:space="preserve">反社会的勢力であることが判明したとき、または反社会的勢力と関与したとき</w:t>
      </w:r>
    </w:p>
    <w:p>
      <w:pPr>
        <w:numPr>
          <w:ilvl w:val="0"/>
          <w:numId w:val="1016"/>
        </w:numPr>
      </w:pPr>
      <w:r>
        <w:rPr>
          <w:rFonts w:hint="eastAsia"/>
        </w:rPr>
        <w:t xml:space="preserve">甲の都合により本契約を中途解約する場合、甲は乙に対し、解約日までに乙が実施した実績工数に基づく報酬を支払うものとする。</w:t>
      </w:r>
    </w:p>
    <w:p>
      <w:pPr>
        <w:numPr>
          <w:ilvl w:val="0"/>
          <w:numId w:val="1016"/>
        </w:numPr>
      </w:pPr>
      <w:r>
        <w:rPr>
          <w:rFonts w:hint="eastAsia"/>
        </w:rPr>
        <w:t xml:space="preserve">乙の責に帰すべき事由により本契約が解除された場合であっても、甲は乙が解除日までに適切に履行した部分に対応する実績工数のうち、甲に現実の利用可能性が認められる範囲について、相当額を支払うものとする。</w:t>
      </w:r>
    </w:p>
    <w:bookmarkEnd w:id="20"/>
    <w:bookmarkStart w:id="21" w:name="責任範囲"/>
    <w:p>
      <w:pPr>
        <w:pStyle w:val="Heading2"/>
      </w:pPr>
      <w:r>
        <w:t xml:space="preserve">11. </w:t>
      </w:r>
      <w:r>
        <w:rPr>
          <w:rFonts w:hint="eastAsia"/>
        </w:rPr>
        <w:t xml:space="preserve">責任範囲</w:t>
      </w:r>
    </w:p>
    <w:p>
      <w:pPr>
        <w:numPr>
          <w:ilvl w:val="0"/>
          <w:numId w:val="1018"/>
        </w:numPr>
      </w:pPr>
      <w:r>
        <w:rPr>
          <w:rFonts w:hint="eastAsia"/>
        </w:rPr>
        <w:t xml:space="preserve">乙は、善良なる管理者の注意をもって本業務を遂行するものとし、準委任契約として業務遂行義務を負うが、特定の分析結果、予測精度、業務成果、制度運用成果または経営判断結果を保証しない。</w:t>
      </w:r>
    </w:p>
    <w:p>
      <w:pPr>
        <w:numPr>
          <w:ilvl w:val="0"/>
          <w:numId w:val="1018"/>
        </w:numPr>
      </w:pPr>
      <w:r>
        <w:rPr>
          <w:rFonts w:hint="eastAsia"/>
        </w:rPr>
        <w:t xml:space="preserve">本業務における分析結果は、提供データに基づく統計的・機械学習上の知見であり、因果関係の立証、法務判断、人事制度判断、個人別処遇判断その他これらに準ずる判断を直接行うためのものではない。</w:t>
      </w:r>
    </w:p>
    <w:p>
      <w:pPr>
        <w:numPr>
          <w:ilvl w:val="0"/>
          <w:numId w:val="1018"/>
        </w:numPr>
      </w:pPr>
      <w:r>
        <w:rPr>
          <w:rFonts w:hint="eastAsia"/>
        </w:rPr>
        <w:t xml:space="preserve">甲は、本業務の成果物を自己の責任において利用するものとし、差別的判断や不利益取扱いへの直接利用を行わないものとする。</w:t>
      </w:r>
    </w:p>
    <w:p>
      <w:pPr>
        <w:numPr>
          <w:ilvl w:val="0"/>
          <w:numId w:val="1018"/>
        </w:numPr>
      </w:pPr>
      <w:r>
        <w:rPr>
          <w:rFonts w:hint="eastAsia"/>
        </w:rPr>
        <w:t xml:space="preserve">乙の損害賠償責任は、乙の故意または重過失による場合を除き、甲が本契約に基づき乙に対して現実に支払った報酬額を上限とする。</w:t>
      </w:r>
    </w:p>
    <w:p>
      <w:pPr>
        <w:numPr>
          <w:ilvl w:val="0"/>
          <w:numId w:val="1018"/>
        </w:numPr>
      </w:pPr>
      <w:r>
        <w:rPr>
          <w:rFonts w:hint="eastAsia"/>
        </w:rPr>
        <w:t xml:space="preserve">乙は、逸失利益、間接損害、特別損害、結果的損害および第三者からの請求に基づく損害について、乙の故意または重過失による場合を除き責任を負わない。</w:t>
      </w:r>
    </w:p>
    <w:bookmarkEnd w:id="21"/>
    <w:bookmarkStart w:id="22" w:name="準拠法および裁判管轄"/>
    <w:p>
      <w:pPr>
        <w:pStyle w:val="Heading2"/>
      </w:pPr>
      <w:r>
        <w:t xml:space="preserve">12. </w:t>
      </w:r>
      <w:r>
        <w:rPr>
          <w:rFonts w:hint="eastAsia"/>
        </w:rPr>
        <w:t xml:space="preserve">準拠法および裁判管轄</w:t>
      </w:r>
    </w:p>
    <w:p>
      <w:pPr>
        <w:numPr>
          <w:ilvl w:val="0"/>
          <w:numId w:val="1019"/>
        </w:numPr>
      </w:pPr>
      <w:r>
        <w:rPr>
          <w:rFonts w:hint="eastAsia"/>
        </w:rPr>
        <w:t xml:space="preserve">本契約の成立、効力、履行および解釈については、日本法を準拠法とする。</w:t>
      </w:r>
    </w:p>
    <w:p>
      <w:pPr>
        <w:numPr>
          <w:ilvl w:val="0"/>
          <w:numId w:val="1019"/>
        </w:numPr>
      </w:pPr>
      <w:r>
        <w:rPr>
          <w:rFonts w:hint="eastAsia"/>
        </w:rPr>
        <w:t xml:space="preserve">本契約に関して甲乙間に生じた一切の紛争については、東京地方裁判所を第一審の専属的合意管轄裁判所とする。</w:t>
      </w:r>
    </w:p>
    <w:bookmarkEnd w:id="22"/>
    <w:bookmarkStart w:id="25" w:name="署名欄"/>
    <w:p>
      <w:pPr>
        <w:pStyle w:val="Heading2"/>
      </w:pPr>
      <w:r>
        <w:t xml:space="preserve">13. </w:t>
      </w:r>
      <w:r>
        <w:rPr>
          <w:rFonts w:hint="eastAsia"/>
        </w:rPr>
        <w:t xml:space="preserve">署名欄</w:t>
      </w:r>
    </w:p>
    <w:p>
      <w:pPr>
        <w:pStyle w:val="FirstParagraph"/>
      </w:pPr>
      <w:r>
        <w:rPr>
          <w:rFonts w:hint="eastAsia"/>
        </w:rPr>
        <w:t xml:space="preserve">本契約締結の証として、本書を2通作成し、甲乙各1通を保有する。</w:t>
      </w:r>
    </w:p>
    <w:p>
      <w:pPr>
        <w:pStyle w:val="BodyText"/>
      </w:pPr>
      <w:r>
        <w:rPr>
          <w:rFonts w:hint="eastAsia"/>
        </w:rPr>
        <w:t xml:space="preserve">契約締結日：2025-08-18</w:t>
      </w:r>
      <w:r>
        <w:br/>
      </w:r>
      <w:r>
        <w:rPr>
          <w:rFonts w:hint="eastAsia"/>
        </w:rPr>
        <w:t xml:space="preserve">効力発生日：2025-08-18</w:t>
      </w:r>
    </w:p>
    <w:bookmarkStart w:id="23" w:name="甲-1"/>
    <w:p>
      <w:pPr>
        <w:pStyle w:val="Heading3"/>
      </w:pPr>
      <w:r>
        <w:rPr>
          <w:rFonts w:hint="eastAsia"/>
        </w:rPr>
        <w:t xml:space="preserve">甲</w:t>
      </w:r>
    </w:p>
    <w:p>
      <w:pPr>
        <w:pStyle w:val="FirstParagraph"/>
      </w:pPr>
      <w:r>
        <w:rPr>
          <w:rFonts w:hint="eastAsia"/>
        </w:rPr>
        <w:t xml:space="preserve">株式会社東都人材プラットフォーム</w:t>
      </w:r>
      <w:r>
        <w:br/>
      </w:r>
      <w:r>
        <w:rPr>
          <w:rFonts w:hint="eastAsia"/>
        </w:rPr>
        <w:t xml:space="preserve">人事戦略部</w:t>
      </w:r>
      <w:r>
        <w:t xml:space="preserve"> </w:t>
      </w:r>
      <w:r>
        <w:rPr>
          <w:rFonts w:hint="eastAsia"/>
        </w:rPr>
        <w:t xml:space="preserve">人材データ活用室</w:t>
      </w:r>
      <w:r>
        <w:br/>
      </w:r>
      <w:r>
        <w:rPr>
          <w:rFonts w:hint="eastAsia"/>
        </w:rPr>
        <w:t xml:space="preserve">主担当者：石川</w:t>
      </w:r>
      <w:r>
        <w:t xml:space="preserve"> </w:t>
      </w:r>
      <w:r>
        <w:rPr>
          <w:rFonts w:hint="eastAsia"/>
        </w:rPr>
        <w:t xml:space="preserve">直樹</w:t>
      </w:r>
      <w:r>
        <w:br/>
      </w:r>
      <w:r>
        <w:rPr>
          <w:rFonts w:hint="eastAsia"/>
        </w:rPr>
        <w:t xml:space="preserve">役職：人事戦略部長</w:t>
      </w:r>
    </w:p>
    <w:p>
      <w:pPr>
        <w:pStyle w:val="BodyText"/>
      </w:pPr>
      <w:r>
        <w:rPr>
          <w:rFonts w:hint="eastAsia"/>
        </w:rPr>
        <w:t xml:space="preserve">署名：____________________</w:t>
      </w:r>
    </w:p>
    <w:bookmarkEnd w:id="23"/>
    <w:bookmarkStart w:id="24" w:name="乙-1"/>
    <w:p>
      <w:pPr>
        <w:pStyle w:val="Heading3"/>
      </w:pPr>
      <w:r>
        <w:rPr>
          <w:rFonts w:hint="eastAsia"/>
        </w:rPr>
        <w:t xml:space="preserve">乙</w:t>
      </w:r>
    </w:p>
    <w:p>
      <w:pPr>
        <w:pStyle w:val="FirstParagraph"/>
      </w:pPr>
      <w:r>
        <w:rPr>
          <w:rFonts w:hint="eastAsia"/>
        </w:rPr>
        <w:t xml:space="preserve">株式会社データアステル</w:t>
      </w:r>
      <w:r>
        <w:br/>
      </w:r>
      <w:r>
        <w:rPr>
          <w:rFonts w:hint="eastAsia"/>
        </w:rPr>
        <w:t xml:space="preserve">データサイエンス部</w:t>
      </w:r>
    </w:p>
    <w:p>
      <w:pPr>
        <w:pStyle w:val="BodyText"/>
      </w:pPr>
      <w:r>
        <w:rPr>
          <w:rFonts w:hint="eastAsia"/>
        </w:rPr>
        <w:t xml:space="preserve">署名：____________________</w:t>
      </w:r>
    </w:p>
    <w:bookmarkEnd w:id="24"/>
    <w:bookmarkEnd w:id="25"/>
    <w:bookmarkStart w:id="26" w:name="特約事項追加対応の扱い"/>
    <w:p>
      <w:pPr>
        <w:pStyle w:val="Heading2"/>
      </w:pPr>
      <w:r>
        <w:t xml:space="preserve">14. </w:t>
      </w:r>
      <w:r>
        <w:rPr>
          <w:rFonts w:hint="eastAsia"/>
        </w:rPr>
        <w:t xml:space="preserve">特約事項（追加対応の扱い）</w:t>
      </w:r>
    </w:p>
    <w:p>
      <w:pPr>
        <w:numPr>
          <w:ilvl w:val="0"/>
          <w:numId w:val="1020"/>
        </w:numPr>
      </w:pPr>
      <w:r>
        <w:rPr>
          <w:rFonts w:hint="eastAsia"/>
        </w:rPr>
        <w:t xml:space="preserve">追加対応は時間単価ベースで別途見積または追加発注として扱う。</w:t>
      </w:r>
    </w:p>
    <w:p>
      <w:pPr>
        <w:numPr>
          <w:ilvl w:val="0"/>
          <w:numId w:val="1020"/>
        </w:numPr>
      </w:pPr>
      <w:r>
        <w:rPr>
          <w:rFonts w:hint="eastAsia"/>
        </w:rPr>
        <w:t xml:space="preserve">追加対応が発生しない前提は置かない。</w:t>
      </w:r>
    </w:p>
    <w:p>
      <w:pPr>
        <w:numPr>
          <w:ilvl w:val="0"/>
          <w:numId w:val="1020"/>
        </w:numPr>
      </w:pPr>
      <w:r>
        <w:rPr>
          <w:rFonts w:hint="eastAsia"/>
        </w:rPr>
        <w:t xml:space="preserve">当初スコープ外の分析追加、成果物追加、会議体追加、レビュー回数増加、追加データへの対応その他本業務の前提を超える対応が必要となった場合、甲乙はその内容、実施要否、想定工数、実施時期および費用を協議のうえ、書面または電子的記録により合意した後に実施する。</w:t>
      </w:r>
    </w:p>
    <w:p>
      <w:pPr>
        <w:numPr>
          <w:ilvl w:val="0"/>
          <w:numId w:val="1020"/>
        </w:numPr>
      </w:pPr>
      <w:r>
        <w:rPr>
          <w:rFonts w:hint="eastAsia"/>
        </w:rPr>
        <w:t xml:space="preserve">前項の追加対応に係る報酬は、第6条に定める時間単価25,000円/時間および工数計上ルールに基づき算定し、本契約に基づく最終一括精算に含めるか、又は別途追加発注契約に基づき精算するものとする。</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2026-03-27T03:24:25Z</dcterms:created>
  <dcterms:modified xsi:type="dcterms:W3CDTF">2026-03-27T03:24:25Z</dcterms:modified>
</cp:coreProperties>
</file>

<file path=docProps/custom.xml><?xml version="1.0" encoding="utf-8"?>
<Properties xmlns="http://schemas.openxmlformats.org/officeDocument/2006/custom-properties" xmlns:vt="http://schemas.openxmlformats.org/officeDocument/2006/docPropsVTypes"/>
</file>