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データ分析業務委託契約書"/>
    <w:p>
      <w:pPr>
        <w:pStyle w:val="Heading1"/>
      </w:pPr>
      <w:r>
        <w:rPr>
          <w:rFonts w:hint="eastAsia"/>
        </w:rPr>
        <w:t xml:space="preserve">データ分析業務委託契約書</w:t>
      </w:r>
    </w:p>
    <w:p>
      <w:pPr>
        <w:pStyle w:val="FirstParagraph"/>
      </w:pPr>
      <w:r>
        <w:rPr>
          <w:rFonts w:hint="eastAsia"/>
        </w:rPr>
        <w:t xml:space="preserve">株式会社青葉バイオメディカル機器（以下「甲」という。）と株式会社データアステル（以下「乙」という。）は、離職要因分析・離職リスク検知</w:t>
      </w:r>
      <w:r>
        <w:t xml:space="preserve"> </w:t>
      </w:r>
      <w:r>
        <w:rPr>
          <w:rFonts w:hint="eastAsia"/>
        </w:rPr>
        <w:t xml:space="preserve">初期分析プロジェクトに関し、以下のとおりデータ分析業務委託契約（以下「本契約」という。）を締結する。</w:t>
      </w:r>
    </w:p>
    <w:p>
      <w:pPr>
        <w:pStyle w:val="BodyText"/>
      </w:pPr>
      <w:r>
        <w:rPr>
          <w:rFonts w:hint="eastAsia"/>
        </w:rPr>
        <w:t xml:space="preserve">本契約の締結日および効力発生日は、2025-06-23とする。</w:t>
      </w:r>
    </w:p>
    <w:bookmarkStart w:id="11" w:name="当事者"/>
    <w:p>
      <w:pPr>
        <w:pStyle w:val="Heading2"/>
      </w:pPr>
      <w:r>
        <w:t xml:space="preserve">1. </w:t>
      </w:r>
      <w:r>
        <w:rPr>
          <w:rFonts w:hint="eastAsia"/>
        </w:rPr>
        <w:t xml:space="preserve">当事者</w:t>
      </w:r>
    </w:p>
    <w:bookmarkStart w:id="9" w:name="甲"/>
    <w:p>
      <w:pPr>
        <w:pStyle w:val="Heading3"/>
      </w:pPr>
      <w:r>
        <w:rPr>
          <w:rFonts w:hint="eastAsia"/>
        </w:rPr>
        <w:t xml:space="preserve">（1）甲</w:t>
      </w:r>
    </w:p>
    <w:p>
      <w:pPr>
        <w:pStyle w:val="Compact"/>
        <w:numPr>
          <w:ilvl w:val="0"/>
          <w:numId w:val="1001"/>
        </w:numPr>
      </w:pPr>
      <w:r>
        <w:rPr>
          <w:rFonts w:hint="eastAsia"/>
        </w:rPr>
        <w:t xml:space="preserve">会社名：株式会社青葉バイオメディカル機器</w:t>
      </w:r>
    </w:p>
    <w:p>
      <w:pPr>
        <w:pStyle w:val="Compact"/>
        <w:numPr>
          <w:ilvl w:val="0"/>
          <w:numId w:val="1001"/>
        </w:numPr>
      </w:pPr>
      <w:r>
        <w:rPr>
          <w:rFonts w:hint="eastAsia"/>
        </w:rPr>
        <w:t xml:space="preserve">部署名：人事本部</w:t>
      </w:r>
      <w:r>
        <w:t xml:space="preserve"> </w:t>
      </w:r>
      <w:r>
        <w:rPr>
          <w:rFonts w:hint="eastAsia"/>
        </w:rPr>
        <w:t xml:space="preserve">人材戦略部</w:t>
      </w:r>
    </w:p>
    <w:p>
      <w:pPr>
        <w:pStyle w:val="Compact"/>
        <w:numPr>
          <w:ilvl w:val="0"/>
          <w:numId w:val="1001"/>
        </w:numPr>
      </w:pPr>
      <w:r>
        <w:rPr>
          <w:rFonts w:hint="eastAsia"/>
        </w:rPr>
        <w:t xml:space="preserve">主担当者：山田</w:t>
      </w:r>
      <w:r>
        <w:t xml:space="preserve"> </w:t>
      </w:r>
      <w:r>
        <w:rPr>
          <w:rFonts w:hint="eastAsia"/>
        </w:rPr>
        <w:t xml:space="preserve">太一</w:t>
      </w:r>
    </w:p>
    <w:p>
      <w:pPr>
        <w:pStyle w:val="Compact"/>
        <w:numPr>
          <w:ilvl w:val="0"/>
          <w:numId w:val="1001"/>
        </w:numPr>
      </w:pPr>
      <w:r>
        <w:rPr>
          <w:rFonts w:hint="eastAsia"/>
        </w:rPr>
        <w:t xml:space="preserve">役職：人材戦略部長</w:t>
      </w:r>
    </w:p>
    <w:bookmarkEnd w:id="9"/>
    <w:bookmarkStart w:id="10" w:name="乙"/>
    <w:p>
      <w:pPr>
        <w:pStyle w:val="Heading3"/>
      </w:pPr>
      <w:r>
        <w:rPr>
          <w:rFonts w:hint="eastAsia"/>
        </w:rPr>
        <w:t xml:space="preserve">（2）乙</w:t>
      </w:r>
    </w:p>
    <w:p>
      <w:pPr>
        <w:pStyle w:val="Compact"/>
        <w:numPr>
          <w:ilvl w:val="0"/>
          <w:numId w:val="1002"/>
        </w:numPr>
      </w:pPr>
      <w:r>
        <w:rPr>
          <w:rFonts w:hint="eastAsia"/>
        </w:rPr>
        <w:t xml:space="preserve">会社名：株式会社データアステル</w:t>
      </w:r>
    </w:p>
    <w:p>
      <w:pPr>
        <w:pStyle w:val="Compact"/>
        <w:numPr>
          <w:ilvl w:val="0"/>
          <w:numId w:val="1002"/>
        </w:numPr>
      </w:pPr>
      <w:r>
        <w:rPr>
          <w:rFonts w:hint="eastAsia"/>
        </w:rPr>
        <w:t xml:space="preserve">部署名：データサイエンス部</w:t>
      </w:r>
    </w:p>
    <w:p>
      <w:pPr>
        <w:pStyle w:val="Compact"/>
        <w:numPr>
          <w:ilvl w:val="0"/>
          <w:numId w:val="1002"/>
        </w:numPr>
      </w:pPr>
      <w:r>
        <w:rPr>
          <w:rFonts w:hint="eastAsia"/>
        </w:rPr>
        <w:t xml:space="preserve">エグゼクティブスポンサー：中村</w:t>
      </w:r>
      <w:r>
        <w:t xml:space="preserve"> </w:t>
      </w:r>
      <w:r>
        <w:rPr>
          <w:rFonts w:hint="eastAsia"/>
        </w:rPr>
        <w:t xml:space="preserve">誠</w:t>
      </w:r>
    </w:p>
    <w:p>
      <w:pPr>
        <w:pStyle w:val="Compact"/>
        <w:numPr>
          <w:ilvl w:val="0"/>
          <w:numId w:val="1002"/>
        </w:numPr>
      </w:pPr>
      <w:r>
        <w:rPr>
          <w:rFonts w:hint="eastAsia"/>
        </w:rPr>
        <w:t xml:space="preserve">プロジェクトマネージャー：加藤</w:t>
      </w:r>
      <w:r>
        <w:t xml:space="preserve"> </w:t>
      </w:r>
      <w:r>
        <w:rPr>
          <w:rFonts w:hint="eastAsia"/>
        </w:rPr>
        <w:t xml:space="preserve">大輔</w:t>
      </w:r>
    </w:p>
    <w:p>
      <w:pPr>
        <w:pStyle w:val="Compact"/>
        <w:numPr>
          <w:ilvl w:val="0"/>
          <w:numId w:val="1002"/>
        </w:numPr>
      </w:pPr>
      <w:r>
        <w:rPr>
          <w:rFonts w:hint="eastAsia"/>
        </w:rPr>
        <w:t xml:space="preserve">リードデータサイエンティスト：渡辺</w:t>
      </w:r>
      <w:r>
        <w:t xml:space="preserve"> </w:t>
      </w:r>
      <w:r>
        <w:rPr>
          <w:rFonts w:hint="eastAsia"/>
        </w:rPr>
        <w:t xml:space="preserve">遥</w:t>
      </w:r>
    </w:p>
    <w:p>
      <w:pPr>
        <w:pStyle w:val="Compact"/>
        <w:numPr>
          <w:ilvl w:val="0"/>
          <w:numId w:val="1002"/>
        </w:numPr>
      </w:pPr>
      <w:r>
        <w:rPr>
          <w:rFonts w:hint="eastAsia"/>
        </w:rPr>
        <w:t xml:space="preserve">データエンジニア：斎藤</w:t>
      </w:r>
      <w:r>
        <w:t xml:space="preserve"> </w:t>
      </w:r>
      <w:r>
        <w:rPr>
          <w:rFonts w:hint="eastAsia"/>
        </w:rPr>
        <w:t xml:space="preserve">悠斗</w:t>
      </w:r>
    </w:p>
    <w:p>
      <w:pPr>
        <w:pStyle w:val="Compact"/>
        <w:numPr>
          <w:ilvl w:val="0"/>
          <w:numId w:val="1002"/>
        </w:numPr>
      </w:pPr>
      <w:r>
        <w:rPr>
          <w:rFonts w:hint="eastAsia"/>
        </w:rPr>
        <w:t xml:space="preserve">ビジネスアナリスト：井上</w:t>
      </w:r>
      <w:r>
        <w:t xml:space="preserve"> </w:t>
      </w:r>
      <w:r>
        <w:rPr>
          <w:rFonts w:hint="eastAsia"/>
        </w:rPr>
        <w:t xml:space="preserve">里奈</w:t>
      </w:r>
    </w:p>
    <w:p>
      <w:pPr>
        <w:pStyle w:val="Compact"/>
        <w:numPr>
          <w:ilvl w:val="0"/>
          <w:numId w:val="1002"/>
        </w:numPr>
      </w:pPr>
      <w:r>
        <w:rPr>
          <w:rFonts w:hint="eastAsia"/>
        </w:rPr>
        <w:t xml:space="preserve">QAレビューア：清水</w:t>
      </w:r>
      <w:r>
        <w:t xml:space="preserve"> </w:t>
      </w:r>
      <w:r>
        <w:rPr>
          <w:rFonts w:hint="eastAsia"/>
        </w:rPr>
        <w:t xml:space="preserve">麻衣</w:t>
      </w:r>
    </w:p>
    <w:bookmarkEnd w:id="10"/>
    <w:bookmarkEnd w:id="11"/>
    <w:bookmarkStart w:id="12" w:name="目的"/>
    <w:p>
      <w:pPr>
        <w:pStyle w:val="Heading2"/>
      </w:pPr>
      <w:r>
        <w:t xml:space="preserve">2. </w:t>
      </w:r>
      <w:r>
        <w:rPr>
          <w:rFonts w:hint="eastAsia"/>
        </w:rPr>
        <w:t xml:space="preserve">目的</w:t>
      </w:r>
    </w:p>
    <w:p>
      <w:pPr>
        <w:pStyle w:val="FirstParagraph"/>
      </w:pPr>
      <w:r>
        <w:rPr>
          <w:rFonts w:hint="eastAsia"/>
        </w:rPr>
        <w:t xml:space="preserve">本契約は、甲が保有する人事関連データを用い、</w:t>
      </w:r>
      <w:r>
        <w:rPr>
          <w:rStyle w:val="VerbatimChar"/>
        </w:rPr>
        <w:t xml:space="preserve">Attrition</w:t>
      </w:r>
      <w:r>
        <w:t xml:space="preserve"> </w:t>
      </w:r>
      <w:r>
        <w:rPr>
          <w:rFonts w:hint="eastAsia"/>
        </w:rPr>
        <w:t xml:space="preserve">を目的変数とした従業員離職要因分析および離職リスク検知の初期分析を乙に委託し、離職傾向の可視化、主要説明変数の抽出、初期的な離職リスク判定ロジックまたは予測モデルの作成、部門・職種・勤続層等の施策単位で解釈可能な示唆の提示、ならびに属性利用に伴う公平性・運用上の注意点の明文化を行うことを目的とする。</w:t>
      </w:r>
    </w:p>
    <w:bookmarkEnd w:id="12"/>
    <w:bookmarkStart w:id="13" w:name="業務範囲"/>
    <w:p>
      <w:pPr>
        <w:pStyle w:val="Heading2"/>
      </w:pPr>
      <w:r>
        <w:t xml:space="preserve">3. </w:t>
      </w:r>
      <w:r>
        <w:rPr>
          <w:rFonts w:hint="eastAsia"/>
        </w:rPr>
        <w:t xml:space="preserve">業務範囲</w:t>
      </w:r>
    </w:p>
    <w:p>
      <w:pPr>
        <w:pStyle w:val="Compact"/>
        <w:numPr>
          <w:ilvl w:val="0"/>
          <w:numId w:val="1003"/>
        </w:numPr>
      </w:pPr>
      <w:r>
        <w:rPr>
          <w:rFonts w:hint="eastAsia"/>
        </w:rPr>
        <w:t xml:space="preserve">乙は、甲の委託に基づき、以下の業務を実施する。</w:t>
      </w:r>
    </w:p>
    <w:p>
      <w:pPr>
        <w:pStyle w:val="Compact"/>
        <w:numPr>
          <w:ilvl w:val="1"/>
          <w:numId w:val="1004"/>
        </w:numPr>
      </w:pPr>
      <w:r>
        <w:rPr>
          <w:rStyle w:val="VerbatimChar"/>
        </w:rPr>
        <w:t xml:space="preserve">data\train.csv</w:t>
      </w:r>
      <w:r>
        <w:t xml:space="preserve"> </w:t>
      </w:r>
      <w:r>
        <w:rPr>
          <w:rFonts w:hint="eastAsia"/>
        </w:rPr>
        <w:t xml:space="preserve">を用いた離職要因分析</w:t>
      </w:r>
    </w:p>
    <w:p>
      <w:pPr>
        <w:pStyle w:val="Compact"/>
        <w:numPr>
          <w:ilvl w:val="1"/>
          <w:numId w:val="1004"/>
        </w:numPr>
      </w:pPr>
      <w:r>
        <w:rPr>
          <w:rStyle w:val="VerbatimChar"/>
        </w:rPr>
        <w:t xml:space="preserve">Attrition</w:t>
      </w:r>
      <w:r>
        <w:t xml:space="preserve"> </w:t>
      </w:r>
      <w:r>
        <w:rPr>
          <w:rFonts w:hint="eastAsia"/>
        </w:rPr>
        <w:t xml:space="preserve">を目的変数とした二値分類の初期モデル作成</w:t>
      </w:r>
    </w:p>
    <w:p>
      <w:pPr>
        <w:pStyle w:val="Compact"/>
        <w:numPr>
          <w:ilvl w:val="1"/>
          <w:numId w:val="1004"/>
        </w:numPr>
      </w:pPr>
      <w:r>
        <w:rPr>
          <w:rFonts w:hint="eastAsia"/>
        </w:rPr>
        <w:t xml:space="preserve">変数分布、クロス集計、関連性確認を含む探索的データ分析</w:t>
      </w:r>
    </w:p>
    <w:p>
      <w:pPr>
        <w:pStyle w:val="Compact"/>
        <w:numPr>
          <w:ilvl w:val="1"/>
          <w:numId w:val="1004"/>
        </w:numPr>
      </w:pPr>
      <w:r>
        <w:rPr>
          <w:rFonts w:hint="eastAsia"/>
        </w:rPr>
        <w:t xml:space="preserve">離職高リスク層の特徴整理</w:t>
      </w:r>
    </w:p>
    <w:p>
      <w:pPr>
        <w:pStyle w:val="Compact"/>
        <w:numPr>
          <w:ilvl w:val="1"/>
          <w:numId w:val="1004"/>
        </w:numPr>
      </w:pPr>
      <w:r>
        <w:rPr>
          <w:rFonts w:hint="eastAsia"/>
        </w:rPr>
        <w:t xml:space="preserve">人事施策に接続する仮説整理</w:t>
      </w:r>
    </w:p>
    <w:p>
      <w:pPr>
        <w:pStyle w:val="Compact"/>
        <w:numPr>
          <w:ilvl w:val="1"/>
          <w:numId w:val="1004"/>
        </w:numPr>
      </w:pPr>
      <w:r>
        <w:rPr>
          <w:rFonts w:hint="eastAsia"/>
        </w:rPr>
        <w:t xml:space="preserve">公平性・属性利用上の留意点整理</w:t>
      </w:r>
    </w:p>
    <w:p>
      <w:pPr>
        <w:pStyle w:val="Compact"/>
        <w:numPr>
          <w:ilvl w:val="1"/>
          <w:numId w:val="1004"/>
        </w:numPr>
      </w:pPr>
      <w:r>
        <w:rPr>
          <w:rFonts w:hint="eastAsia"/>
        </w:rPr>
        <w:t xml:space="preserve">中間報告書および最終報告書の作成</w:t>
      </w:r>
    </w:p>
    <w:p>
      <w:pPr>
        <w:pStyle w:val="Compact"/>
        <w:numPr>
          <w:ilvl w:val="1"/>
          <w:numId w:val="1004"/>
        </w:numPr>
      </w:pPr>
      <w:r>
        <w:rPr>
          <w:rFonts w:hint="eastAsia"/>
        </w:rPr>
        <w:t xml:space="preserve">プロジェクト進行に必要な議事録、スケジュール管理、レビュー運営</w:t>
      </w:r>
    </w:p>
    <w:p>
      <w:pPr>
        <w:pStyle w:val="Compact"/>
        <w:numPr>
          <w:ilvl w:val="0"/>
          <w:numId w:val="1003"/>
        </w:numPr>
      </w:pPr>
      <w:r>
        <w:rPr>
          <w:rFonts w:hint="eastAsia"/>
        </w:rPr>
        <w:t xml:space="preserve">対象データは以下のとおりとする。</w:t>
      </w:r>
    </w:p>
    <w:p>
      <w:pPr>
        <w:pStyle w:val="Compact"/>
        <w:numPr>
          <w:ilvl w:val="1"/>
          <w:numId w:val="1005"/>
        </w:numPr>
      </w:pPr>
      <w:r>
        <w:rPr>
          <w:rFonts w:hint="eastAsia"/>
        </w:rPr>
        <w:t xml:space="preserve">対象ファイル：</w:t>
      </w:r>
      <w:r>
        <w:rPr>
          <w:rStyle w:val="VerbatimChar"/>
        </w:rPr>
        <w:t xml:space="preserve">data\train.csv</w:t>
      </w:r>
    </w:p>
    <w:p>
      <w:pPr>
        <w:pStyle w:val="Compact"/>
        <w:numPr>
          <w:ilvl w:val="1"/>
          <w:numId w:val="1005"/>
        </w:numPr>
      </w:pPr>
      <w:r>
        <w:rPr>
          <w:rFonts w:hint="eastAsia"/>
        </w:rPr>
        <w:t xml:space="preserve">レコード数：735行</w:t>
      </w:r>
    </w:p>
    <w:p>
      <w:pPr>
        <w:pStyle w:val="Compact"/>
        <w:numPr>
          <w:ilvl w:val="1"/>
          <w:numId w:val="1005"/>
        </w:numPr>
      </w:pPr>
      <w:r>
        <w:rPr>
          <w:rFonts w:hint="eastAsia"/>
        </w:rPr>
        <w:t xml:space="preserve">カラム数：33列</w:t>
      </w:r>
    </w:p>
    <w:p>
      <w:pPr>
        <w:pStyle w:val="Compact"/>
        <w:numPr>
          <w:ilvl w:val="1"/>
          <w:numId w:val="1005"/>
        </w:numPr>
      </w:pPr>
      <w:r>
        <w:rPr>
          <w:rFonts w:hint="eastAsia"/>
        </w:rPr>
        <w:t xml:space="preserve">目的変数：</w:t>
      </w:r>
      <w:r>
        <w:rPr>
          <w:rStyle w:val="VerbatimChar"/>
        </w:rPr>
        <w:t xml:space="preserve">Attrition</w:t>
      </w:r>
      <w:r>
        <w:rPr>
          <w:rFonts w:hint="eastAsia"/>
        </w:rPr>
        <w:t xml:space="preserve">（</w:t>
      </w:r>
      <w:r>
        <w:rPr>
          <w:rStyle w:val="VerbatimChar"/>
        </w:rPr>
        <w:t xml:space="preserve">Yes/No</w:t>
      </w:r>
      <w:r>
        <w:rPr>
          <w:rFonts w:hint="eastAsia"/>
        </w:rPr>
        <w:t xml:space="preserve">）</w:t>
      </w:r>
    </w:p>
    <w:p>
      <w:pPr>
        <w:pStyle w:val="Compact"/>
        <w:numPr>
          <w:ilvl w:val="1"/>
          <w:numId w:val="1005"/>
        </w:numPr>
      </w:pPr>
      <w:r>
        <w:rPr>
          <w:rFonts w:hint="eastAsia"/>
        </w:rPr>
        <w:t xml:space="preserve">時系列粒度：時系列粒度なし（単一時点の従業員スナップショット）</w:t>
      </w:r>
    </w:p>
    <w:p>
      <w:pPr>
        <w:pStyle w:val="Compact"/>
        <w:numPr>
          <w:ilvl w:val="0"/>
          <w:numId w:val="1003"/>
        </w:numPr>
      </w:pPr>
      <w:r>
        <w:rPr>
          <w:rFonts w:hint="eastAsia"/>
        </w:rPr>
        <w:t xml:space="preserve">乙は、分析上、以下の前提に従うものとする。</w:t>
      </w:r>
    </w:p>
    <w:p>
      <w:pPr>
        <w:pStyle w:val="Compact"/>
        <w:numPr>
          <w:ilvl w:val="1"/>
          <w:numId w:val="1006"/>
        </w:numPr>
      </w:pPr>
      <w:r>
        <w:rPr>
          <w:rFonts w:hint="eastAsia"/>
        </w:rPr>
        <w:t xml:space="preserve">実データの値表現をカラム説明書より優先して扱う</w:t>
      </w:r>
    </w:p>
    <w:p>
      <w:pPr>
        <w:pStyle w:val="Compact"/>
        <w:numPr>
          <w:ilvl w:val="1"/>
          <w:numId w:val="1006"/>
        </w:numPr>
      </w:pPr>
      <w:r>
        <w:rPr>
          <w:rStyle w:val="VerbatimChar"/>
        </w:rPr>
        <w:t xml:space="preserve">Attrition</w:t>
      </w:r>
      <w:r>
        <w:t xml:space="preserve"> </w:t>
      </w:r>
      <w:r>
        <w:t xml:space="preserve">は</w:t>
      </w:r>
      <w:r>
        <w:t xml:space="preserve"> </w:t>
      </w:r>
      <w:r>
        <w:rPr>
          <w:rStyle w:val="VerbatimChar"/>
          <w:rFonts w:hint="eastAsia"/>
        </w:rPr>
        <w:t xml:space="preserve">Yes=離職</w:t>
      </w:r>
      <w:r>
        <w:t xml:space="preserve">、</w:t>
      </w:r>
      <w:r>
        <w:rPr>
          <w:rStyle w:val="VerbatimChar"/>
          <w:rFonts w:hint="eastAsia"/>
        </w:rPr>
        <w:t xml:space="preserve">No=在籍</w:t>
      </w:r>
      <w:r>
        <w:t xml:space="preserve"> </w:t>
      </w:r>
      <w:r>
        <w:rPr>
          <w:rFonts w:hint="eastAsia"/>
        </w:rPr>
        <w:t xml:space="preserve">として扱う</w:t>
      </w:r>
    </w:p>
    <w:p>
      <w:pPr>
        <w:pStyle w:val="Compact"/>
        <w:numPr>
          <w:ilvl w:val="1"/>
          <w:numId w:val="1006"/>
        </w:numPr>
      </w:pPr>
      <w:r>
        <w:rPr>
          <w:rStyle w:val="VerbatimChar"/>
        </w:rPr>
        <w:t xml:space="preserve">id</w:t>
      </w:r>
      <w:r>
        <w:t xml:space="preserve"> </w:t>
      </w:r>
      <w:r>
        <w:rPr>
          <w:rFonts w:hint="eastAsia"/>
        </w:rPr>
        <w:t xml:space="preserve">は識別子のみであり、分析特徴量には用いない</w:t>
      </w:r>
    </w:p>
    <w:p>
      <w:pPr>
        <w:pStyle w:val="Compact"/>
        <w:numPr>
          <w:ilvl w:val="1"/>
          <w:numId w:val="1006"/>
        </w:numPr>
      </w:pPr>
      <w:r>
        <w:rPr>
          <w:rStyle w:val="VerbatimChar"/>
        </w:rPr>
        <w:t xml:space="preserve">Over18</w:t>
      </w:r>
      <w:r>
        <w:t xml:space="preserve"> </w:t>
      </w:r>
      <w:r>
        <w:t xml:space="preserve">および</w:t>
      </w:r>
      <w:r>
        <w:t xml:space="preserve"> </w:t>
      </w:r>
      <w:r>
        <w:rPr>
          <w:rStyle w:val="VerbatimChar"/>
        </w:rPr>
        <w:t xml:space="preserve">StandardHours</w:t>
      </w:r>
      <w:r>
        <w:t xml:space="preserve"> </w:t>
      </w:r>
      <w:r>
        <w:rPr>
          <w:rFonts w:hint="eastAsia"/>
        </w:rPr>
        <w:t xml:space="preserve">は定数列として原則除外する</w:t>
      </w:r>
    </w:p>
    <w:p>
      <w:pPr>
        <w:pStyle w:val="Compact"/>
        <w:numPr>
          <w:ilvl w:val="1"/>
          <w:numId w:val="1006"/>
        </w:numPr>
      </w:pPr>
      <w:r>
        <w:rPr>
          <w:rFonts w:hint="eastAsia"/>
        </w:rPr>
        <w:t xml:space="preserve">分析結果は人事施策検討の参考情報であり、人事判断の自動化には用いない</w:t>
      </w:r>
    </w:p>
    <w:p>
      <w:pPr>
        <w:pStyle w:val="Compact"/>
        <w:numPr>
          <w:ilvl w:val="0"/>
          <w:numId w:val="1003"/>
        </w:numPr>
      </w:pPr>
      <w:r>
        <w:rPr>
          <w:rFonts w:hint="eastAsia"/>
        </w:rPr>
        <w:t xml:space="preserve">以下の業務は本契約の対象外とする。</w:t>
      </w:r>
    </w:p>
    <w:p>
      <w:pPr>
        <w:pStyle w:val="Compact"/>
        <w:numPr>
          <w:ilvl w:val="1"/>
          <w:numId w:val="1007"/>
        </w:numPr>
      </w:pPr>
      <w:r>
        <w:rPr>
          <w:rFonts w:hint="eastAsia"/>
        </w:rPr>
        <w:t xml:space="preserve">本番システム実装、API化、バッチ運用化</w:t>
      </w:r>
    </w:p>
    <w:p>
      <w:pPr>
        <w:pStyle w:val="Compact"/>
        <w:numPr>
          <w:ilvl w:val="1"/>
          <w:numId w:val="1007"/>
        </w:numPr>
      </w:pPr>
      <w:r>
        <w:rPr>
          <w:rFonts w:hint="eastAsia"/>
        </w:rPr>
        <w:t xml:space="preserve">人事システムとのデータ連携開発</w:t>
      </w:r>
    </w:p>
    <w:p>
      <w:pPr>
        <w:pStyle w:val="Compact"/>
        <w:numPr>
          <w:ilvl w:val="1"/>
          <w:numId w:val="1007"/>
        </w:numPr>
      </w:pPr>
      <w:r>
        <w:rPr>
          <w:rFonts w:hint="eastAsia"/>
        </w:rPr>
        <w:t xml:space="preserve">個人単位の処遇決定、自動査定、自動選別への利用設計</w:t>
      </w:r>
    </w:p>
    <w:p>
      <w:pPr>
        <w:pStyle w:val="Compact"/>
        <w:numPr>
          <w:ilvl w:val="1"/>
          <w:numId w:val="1007"/>
        </w:numPr>
      </w:pPr>
      <w:r>
        <w:rPr>
          <w:rFonts w:hint="eastAsia"/>
        </w:rPr>
        <w:t xml:space="preserve">法務判断、労務判断そのものの代替</w:t>
      </w:r>
    </w:p>
    <w:p>
      <w:pPr>
        <w:pStyle w:val="Compact"/>
        <w:numPr>
          <w:ilvl w:val="1"/>
          <w:numId w:val="1007"/>
        </w:numPr>
      </w:pPr>
      <w:r>
        <w:rPr>
          <w:rFonts w:hint="eastAsia"/>
        </w:rPr>
        <w:t xml:space="preserve">時系列予測、退職時期予測</w:t>
      </w:r>
    </w:p>
    <w:p>
      <w:pPr>
        <w:pStyle w:val="Compact"/>
        <w:numPr>
          <w:ilvl w:val="1"/>
          <w:numId w:val="1007"/>
        </w:numPr>
      </w:pPr>
      <w:r>
        <w:rPr>
          <w:rStyle w:val="VerbatimChar"/>
        </w:rPr>
        <w:t xml:space="preserve">train.csv</w:t>
      </w:r>
      <w:r>
        <w:t xml:space="preserve"> </w:t>
      </w:r>
      <w:r>
        <w:rPr>
          <w:rFonts w:hint="eastAsia"/>
        </w:rPr>
        <w:t xml:space="preserve">以外の追加データ取得を前提とした分析</w:t>
      </w:r>
    </w:p>
    <w:p>
      <w:pPr>
        <w:pStyle w:val="Compact"/>
        <w:numPr>
          <w:ilvl w:val="1"/>
          <w:numId w:val="1007"/>
        </w:numPr>
      </w:pPr>
      <w:r>
        <w:rPr>
          <w:rFonts w:hint="eastAsia"/>
        </w:rPr>
        <w:t xml:space="preserve">因果関係の断定</w:t>
      </w:r>
    </w:p>
    <w:p>
      <w:pPr>
        <w:pStyle w:val="Compact"/>
        <w:numPr>
          <w:ilvl w:val="1"/>
          <w:numId w:val="1007"/>
        </w:numPr>
      </w:pPr>
      <w:r>
        <w:rPr>
          <w:rFonts w:hint="eastAsia"/>
        </w:rPr>
        <w:t xml:space="preserve">採用、配置、昇進、報酬改定ポリシーの最終決定</w:t>
      </w:r>
    </w:p>
    <w:bookmarkEnd w:id="13"/>
    <w:bookmarkStart w:id="14" w:name="成果物および検収"/>
    <w:p>
      <w:pPr>
        <w:pStyle w:val="Heading2"/>
      </w:pPr>
      <w:r>
        <w:t xml:space="preserve">4. </w:t>
      </w:r>
      <w:r>
        <w:rPr>
          <w:rFonts w:hint="eastAsia"/>
        </w:rPr>
        <w:t xml:space="preserve">成果物および検収</w:t>
      </w:r>
    </w:p>
    <w:p>
      <w:pPr>
        <w:numPr>
          <w:ilvl w:val="0"/>
          <w:numId w:val="1008"/>
        </w:numPr>
      </w:pPr>
      <w:r>
        <w:rPr>
          <w:rFonts w:hint="eastAsia"/>
        </w:rPr>
        <w:t xml:space="preserve">本契約に基づく成果物は、以下のとおりとする。</w:t>
      </w:r>
    </w:p>
    <w:p>
      <w:pPr>
        <w:pStyle w:val="Compact"/>
        <w:numPr>
          <w:ilvl w:val="1"/>
          <w:numId w:val="1009"/>
        </w:numPr>
      </w:pPr>
      <w:r>
        <w:rPr>
          <w:rFonts w:hint="eastAsia"/>
        </w:rPr>
        <w:t xml:space="preserve">プロジェクト概要書</w:t>
      </w:r>
    </w:p>
    <w:p>
      <w:pPr>
        <w:pStyle w:val="Compact"/>
        <w:numPr>
          <w:ilvl w:val="1"/>
          <w:numId w:val="1009"/>
        </w:numPr>
      </w:pPr>
      <w:r>
        <w:rPr>
          <w:rFonts w:hint="eastAsia"/>
        </w:rPr>
        <w:t xml:space="preserve">分析用データ理解メモ</w:t>
      </w:r>
    </w:p>
    <w:p>
      <w:pPr>
        <w:pStyle w:val="Compact"/>
        <w:numPr>
          <w:ilvl w:val="1"/>
          <w:numId w:val="1009"/>
        </w:numPr>
      </w:pPr>
      <w:r>
        <w:rPr>
          <w:rFonts w:hint="eastAsia"/>
        </w:rPr>
        <w:t xml:space="preserve">EDA結果資料</w:t>
      </w:r>
    </w:p>
    <w:p>
      <w:pPr>
        <w:pStyle w:val="Compact"/>
        <w:numPr>
          <w:ilvl w:val="1"/>
          <w:numId w:val="1009"/>
        </w:numPr>
      </w:pPr>
      <w:r>
        <w:rPr>
          <w:rFonts w:hint="eastAsia"/>
        </w:rPr>
        <w:t xml:space="preserve">離職要因分析資料</w:t>
      </w:r>
    </w:p>
    <w:p>
      <w:pPr>
        <w:pStyle w:val="Compact"/>
        <w:numPr>
          <w:ilvl w:val="1"/>
          <w:numId w:val="1009"/>
        </w:numPr>
      </w:pPr>
      <w:r>
        <w:rPr>
          <w:rFonts w:hint="eastAsia"/>
        </w:rPr>
        <w:t xml:space="preserve">初期予測モデル評価資料</w:t>
      </w:r>
    </w:p>
    <w:p>
      <w:pPr>
        <w:pStyle w:val="Compact"/>
        <w:numPr>
          <w:ilvl w:val="1"/>
          <w:numId w:val="1009"/>
        </w:numPr>
      </w:pPr>
      <w:r>
        <w:rPr>
          <w:rFonts w:hint="eastAsia"/>
        </w:rPr>
        <w:t xml:space="preserve">中間報告書</w:t>
      </w:r>
    </w:p>
    <w:p>
      <w:pPr>
        <w:pStyle w:val="Compact"/>
        <w:numPr>
          <w:ilvl w:val="1"/>
          <w:numId w:val="1009"/>
        </w:numPr>
      </w:pPr>
      <w:r>
        <w:rPr>
          <w:rFonts w:hint="eastAsia"/>
        </w:rPr>
        <w:t xml:space="preserve">最終報告書</w:t>
      </w:r>
    </w:p>
    <w:p>
      <w:pPr>
        <w:pStyle w:val="Compact"/>
        <w:numPr>
          <w:ilvl w:val="1"/>
          <w:numId w:val="1009"/>
        </w:numPr>
      </w:pPr>
      <w:r>
        <w:rPr>
          <w:rFonts w:hint="eastAsia"/>
        </w:rPr>
        <w:t xml:space="preserve">会議議事録</w:t>
      </w:r>
    </w:p>
    <w:p>
      <w:pPr>
        <w:pStyle w:val="Compact"/>
        <w:numPr>
          <w:ilvl w:val="1"/>
          <w:numId w:val="1009"/>
        </w:numPr>
      </w:pPr>
      <w:r>
        <w:t xml:space="preserve">プロジェクトスケジュール</w:t>
      </w:r>
    </w:p>
    <w:p>
      <w:pPr>
        <w:numPr>
          <w:ilvl w:val="0"/>
          <w:numId w:val="1008"/>
        </w:numPr>
      </w:pPr>
      <w:r>
        <w:rPr>
          <w:rFonts w:hint="eastAsia"/>
        </w:rPr>
        <w:t xml:space="preserve">成果物は、実データ準拠、再現可能性、説明可能性、公平性配慮を満たす形で作成するものとする。</w:t>
      </w:r>
    </w:p>
    <w:p>
      <w:pPr>
        <w:numPr>
          <w:ilvl w:val="0"/>
          <w:numId w:val="1008"/>
        </w:numPr>
      </w:pPr>
      <w:r>
        <w:rPr>
          <w:rFonts w:hint="eastAsia"/>
        </w:rPr>
        <w:t xml:space="preserve">乙は、契約期間内に最終成果物を甲へ提出するものとし、最終提出予定日は2025-07-28とする。</w:t>
      </w:r>
    </w:p>
    <w:p>
      <w:pPr>
        <w:numPr>
          <w:ilvl w:val="0"/>
          <w:numId w:val="1008"/>
        </w:numPr>
      </w:pPr>
      <w:r>
        <w:rPr>
          <w:rFonts w:hint="eastAsia"/>
        </w:rPr>
        <w:t xml:space="preserve">甲は、最終成果物の受領後、内容を確認し、受領日から5営業日以内に検収結果を乙へ通知するものとする。甲が当該期間内に合理的根拠を付した不合格通知を行わない場合、当該成果物は検収合格とみなす。</w:t>
      </w:r>
    </w:p>
    <w:p>
      <w:pPr>
        <w:numPr>
          <w:ilvl w:val="0"/>
          <w:numId w:val="1008"/>
        </w:numPr>
      </w:pPr>
      <w:r>
        <w:rPr>
          <w:rFonts w:hint="eastAsia"/>
        </w:rPr>
        <w:t xml:space="preserve">甲が不合格通知を行った場合、乙は不合格理由が本契約の業務範囲内に属する限り、合理的期間内に必要な補正を行い、再提出するものとする。</w:t>
      </w:r>
    </w:p>
    <w:p>
      <w:pPr>
        <w:numPr>
          <w:ilvl w:val="0"/>
          <w:numId w:val="1008"/>
        </w:numPr>
      </w:pPr>
      <w:r>
        <w:rPr>
          <w:rFonts w:hint="eastAsia"/>
        </w:rPr>
        <w:t xml:space="preserve">本契約は準委任契約として締結されるものであり、乙は善良なる管理者の注意をもって業務を遂行する義務を負うが、分析結果による特定の経営成果、施策成果、予測精度または業務成果の達成を保証するものではない。</w:t>
      </w:r>
    </w:p>
    <w:bookmarkEnd w:id="14"/>
    <w:bookmarkStart w:id="15" w:name="契約期間"/>
    <w:p>
      <w:pPr>
        <w:pStyle w:val="Heading2"/>
      </w:pPr>
      <w:r>
        <w:t xml:space="preserve">5. </w:t>
      </w:r>
      <w:r>
        <w:rPr>
          <w:rFonts w:hint="eastAsia"/>
        </w:rPr>
        <w:t xml:space="preserve">契約期間</w:t>
      </w:r>
    </w:p>
    <w:p>
      <w:pPr>
        <w:pStyle w:val="Compact"/>
        <w:numPr>
          <w:ilvl w:val="0"/>
          <w:numId w:val="1010"/>
        </w:numPr>
      </w:pPr>
      <w:r>
        <w:rPr>
          <w:rFonts w:hint="eastAsia"/>
        </w:rPr>
        <w:t xml:space="preserve">本契約の契約締結日および効力発生日は2025-06-23とする。</w:t>
      </w:r>
    </w:p>
    <w:p>
      <w:pPr>
        <w:pStyle w:val="Compact"/>
        <w:numPr>
          <w:ilvl w:val="0"/>
          <w:numId w:val="1010"/>
        </w:numPr>
      </w:pPr>
      <w:r>
        <w:rPr>
          <w:rFonts w:hint="eastAsia"/>
        </w:rPr>
        <w:t xml:space="preserve">本契約の契約期間は、2025-06-23から2025-07-28までの5週間とする。</w:t>
      </w:r>
    </w:p>
    <w:p>
      <w:pPr>
        <w:pStyle w:val="Compact"/>
        <w:numPr>
          <w:ilvl w:val="0"/>
          <w:numId w:val="1010"/>
        </w:numPr>
      </w:pPr>
      <w:r>
        <w:rPr>
          <w:rFonts w:hint="eastAsia"/>
        </w:rPr>
        <w:t xml:space="preserve">契約期間満了後であっても、第6条、第7条、第8条、第10条、第11条および第12条の規定は、その性質上存続すべき範囲で引き続き有効に存続する。</w:t>
      </w:r>
    </w:p>
    <w:bookmarkEnd w:id="15"/>
    <w:bookmarkStart w:id="16" w:name="報酬および支払条件"/>
    <w:p>
      <w:pPr>
        <w:pStyle w:val="Heading2"/>
      </w:pPr>
      <w:r>
        <w:t xml:space="preserve">6. </w:t>
      </w:r>
      <w:r>
        <w:rPr>
          <w:rFonts w:hint="eastAsia"/>
        </w:rPr>
        <w:t xml:space="preserve">報酬および支払条件</w:t>
      </w:r>
    </w:p>
    <w:p>
      <w:pPr>
        <w:numPr>
          <w:ilvl w:val="0"/>
          <w:numId w:val="1011"/>
        </w:numPr>
      </w:pPr>
      <w:r>
        <w:rPr>
          <w:rFonts w:hint="eastAsia"/>
        </w:rPr>
        <w:t xml:space="preserve">本契約の料金体系は、time_and_materials</w:t>
      </w:r>
      <w:r>
        <w:t xml:space="preserve"> とする。</w:t>
      </w:r>
    </w:p>
    <w:p>
      <w:pPr>
        <w:numPr>
          <w:ilvl w:val="0"/>
          <w:numId w:val="1011"/>
        </w:numPr>
      </w:pPr>
      <w:r>
        <w:rPr>
          <w:rFonts w:hint="eastAsia"/>
        </w:rPr>
        <w:t xml:space="preserve">報酬条件は以下のとおりとする。</w:t>
      </w:r>
    </w:p>
    <w:p>
      <w:pPr>
        <w:pStyle w:val="Compact"/>
        <w:numPr>
          <w:ilvl w:val="1"/>
          <w:numId w:val="1012"/>
        </w:numPr>
      </w:pPr>
      <w:r>
        <w:rPr>
          <w:rFonts w:hint="eastAsia"/>
        </w:rPr>
        <w:t xml:space="preserve">請求単位：hour</w:t>
      </w:r>
    </w:p>
    <w:p>
      <w:pPr>
        <w:pStyle w:val="Compact"/>
        <w:numPr>
          <w:ilvl w:val="1"/>
          <w:numId w:val="1012"/>
        </w:numPr>
      </w:pPr>
      <w:r>
        <w:rPr>
          <w:rFonts w:hint="eastAsia"/>
        </w:rPr>
        <w:t xml:space="preserve">時間単価：20,000円（税抜）/時</w:t>
      </w:r>
    </w:p>
    <w:p>
      <w:pPr>
        <w:pStyle w:val="Compact"/>
        <w:numPr>
          <w:ilvl w:val="1"/>
          <w:numId w:val="1012"/>
        </w:numPr>
      </w:pPr>
      <w:r>
        <w:rPr>
          <w:rFonts w:hint="eastAsia"/>
        </w:rPr>
        <w:t xml:space="preserve">想定総工数：170時間</w:t>
      </w:r>
    </w:p>
    <w:p>
      <w:pPr>
        <w:pStyle w:val="Compact"/>
        <w:numPr>
          <w:ilvl w:val="1"/>
          <w:numId w:val="1012"/>
        </w:numPr>
      </w:pPr>
      <w:r>
        <w:rPr>
          <w:rFonts w:hint="eastAsia"/>
        </w:rPr>
        <w:t xml:space="preserve">想定金額（税抜）：3,400,000円</w:t>
      </w:r>
    </w:p>
    <w:p>
      <w:pPr>
        <w:pStyle w:val="Compact"/>
        <w:numPr>
          <w:ilvl w:val="1"/>
          <w:numId w:val="1012"/>
        </w:numPr>
      </w:pPr>
      <w:r>
        <w:rPr>
          <w:rFonts w:hint="eastAsia"/>
        </w:rPr>
        <w:t xml:space="preserve">消費税率：10%</w:t>
      </w:r>
    </w:p>
    <w:p>
      <w:pPr>
        <w:pStyle w:val="Compact"/>
        <w:numPr>
          <w:ilvl w:val="1"/>
          <w:numId w:val="1012"/>
        </w:numPr>
      </w:pPr>
      <w:r>
        <w:rPr>
          <w:rFonts w:hint="eastAsia"/>
        </w:rPr>
        <w:t xml:space="preserve">消費税額：340,000円</w:t>
      </w:r>
    </w:p>
    <w:p>
      <w:pPr>
        <w:pStyle w:val="Compact"/>
        <w:numPr>
          <w:ilvl w:val="1"/>
          <w:numId w:val="1012"/>
        </w:numPr>
      </w:pPr>
      <w:r>
        <w:rPr>
          <w:rFonts w:hint="eastAsia"/>
        </w:rPr>
        <w:t xml:space="preserve">想定金額（税込）：3,740,000円</w:t>
      </w:r>
    </w:p>
    <w:p>
      <w:pPr>
        <w:numPr>
          <w:ilvl w:val="0"/>
          <w:numId w:val="1011"/>
        </w:numPr>
      </w:pPr>
      <w:r>
        <w:rPr>
          <w:rFonts w:hint="eastAsia"/>
        </w:rPr>
        <w:t xml:space="preserve">本契約は実績工数に基づく精算契約であり、最終的な請求金額は実績工数に基づいて確定するものとする。想定総工数170時間、想定金額3,400,000円（税抜）および3,740,000円（税込）は見込額であり、契約総額を固定するものではない。</w:t>
      </w:r>
    </w:p>
    <w:p>
      <w:pPr>
        <w:numPr>
          <w:ilvl w:val="0"/>
          <w:numId w:val="1011"/>
        </w:numPr>
      </w:pPr>
      <w:r>
        <w:rPr>
          <w:rFonts w:hint="eastAsia"/>
        </w:rPr>
        <w:t xml:space="preserve">工数の計上および精算は、30分単位で行うものとし、各作業時間は30分ごとに集計するものとする。</w:t>
      </w:r>
    </w:p>
    <w:p>
      <w:pPr>
        <w:numPr>
          <w:ilvl w:val="0"/>
          <w:numId w:val="1011"/>
        </w:numPr>
      </w:pPr>
      <w:r>
        <w:rPr>
          <w:rFonts w:hint="eastAsia"/>
        </w:rPr>
        <w:t xml:space="preserve">乙は、実績工数を記録した作業報告書または工数明細書を作成し、甲の求めに応じて提示するものとする。</w:t>
      </w:r>
    </w:p>
    <w:p>
      <w:pPr>
        <w:numPr>
          <w:ilvl w:val="0"/>
          <w:numId w:val="1011"/>
        </w:numPr>
      </w:pPr>
      <w:r>
        <w:rPr>
          <w:rFonts w:hint="eastAsia"/>
        </w:rPr>
        <w:t xml:space="preserve">精算ルールは、実績工数に基づき、案件完了後に最終成果物の検収を経て一括精算するものとする。</w:t>
      </w:r>
    </w:p>
    <w:p>
      <w:pPr>
        <w:numPr>
          <w:ilvl w:val="0"/>
          <w:numId w:val="1011"/>
        </w:numPr>
      </w:pPr>
      <w:r>
        <w:rPr>
          <w:rFonts w:hint="eastAsia"/>
        </w:rPr>
        <w:t xml:space="preserve">支払方法および支払期日は以下のとおりとする。</w:t>
      </w:r>
    </w:p>
    <w:tbl>
      <w:tblPr>
        <w:tblStyle w:val="Table"/>
        <w:tblW w:type="pct" w:w="5000"/>
        <w:tblLayout w:type="fixed"/>
        <w:tblLook w:firstRow="1" w:lastRow="0" w:firstColumn="0" w:lastColumn="0" w:noHBand="0" w:noVBand="0" w:val="0020"/>
      </w:tblPr>
      <w:tblGrid>
        <w:gridCol w:w="848"/>
        <w:gridCol w:w="848"/>
        <w:gridCol w:w="1131"/>
        <w:gridCol w:w="1131"/>
        <w:gridCol w:w="1131"/>
        <w:gridCol w:w="1131"/>
        <w:gridCol w:w="848"/>
        <w:gridCol w:w="848"/>
      </w:tblGrid>
      <w:tr>
        <w:trPr>
          <w:tblHeader w:val="on"/>
        </w:trPr>
        <w:tc>
          <w:tcPr/>
          <w:p>
            <w:pPr>
              <w:pStyle w:val="Compact"/>
            </w:pPr>
            <w:r>
              <w:rPr>
                <w:rFonts w:hint="eastAsia"/>
              </w:rPr>
              <w:t xml:space="preserve">支払回</w:t>
            </w:r>
          </w:p>
        </w:tc>
        <w:tc>
          <w:tcPr/>
          <w:p>
            <w:pPr>
              <w:pStyle w:val="Compact"/>
            </w:pPr>
            <w:r>
              <w:t xml:space="preserve">マイルストン</w:t>
            </w:r>
          </w:p>
        </w:tc>
        <w:tc>
          <w:tcPr/>
          <w:p>
            <w:pPr>
              <w:pStyle w:val="Compact"/>
              <w:jc w:val="right"/>
            </w:pPr>
            <w:r>
              <w:rPr>
                <w:rFonts w:hint="eastAsia"/>
              </w:rPr>
              <w:t xml:space="preserve">比率</w:t>
            </w:r>
          </w:p>
        </w:tc>
        <w:tc>
          <w:tcPr/>
          <w:p>
            <w:pPr>
              <w:pStyle w:val="Compact"/>
              <w:jc w:val="right"/>
            </w:pPr>
            <w:r>
              <w:rPr>
                <w:rFonts w:hint="eastAsia"/>
              </w:rPr>
              <w:t xml:space="preserve">金額（税抜）</w:t>
            </w:r>
          </w:p>
        </w:tc>
        <w:tc>
          <w:tcPr/>
          <w:p>
            <w:pPr>
              <w:pStyle w:val="Compact"/>
              <w:jc w:val="right"/>
            </w:pPr>
            <w:r>
              <w:rPr>
                <w:rFonts w:hint="eastAsia"/>
              </w:rPr>
              <w:t xml:space="preserve">消費税額</w:t>
            </w:r>
          </w:p>
        </w:tc>
        <w:tc>
          <w:tcPr/>
          <w:p>
            <w:pPr>
              <w:pStyle w:val="Compact"/>
              <w:jc w:val="right"/>
            </w:pPr>
            <w:r>
              <w:rPr>
                <w:rFonts w:hint="eastAsia"/>
              </w:rPr>
              <w:t xml:space="preserve">金額（税込）</w:t>
            </w:r>
          </w:p>
        </w:tc>
        <w:tc>
          <w:tcPr/>
          <w:p>
            <w:pPr>
              <w:pStyle w:val="Compact"/>
            </w:pPr>
            <w:r>
              <w:rPr>
                <w:rFonts w:hint="eastAsia"/>
              </w:rPr>
              <w:t xml:space="preserve">支払条件</w:t>
            </w:r>
          </w:p>
        </w:tc>
        <w:tc>
          <w:tcPr/>
          <w:p>
            <w:pPr>
              <w:pStyle w:val="Compact"/>
            </w:pPr>
            <w:r>
              <w:rPr>
                <w:rFonts w:hint="eastAsia"/>
              </w:rPr>
              <w:t xml:space="preserve">支払期日</w:t>
            </w:r>
          </w:p>
        </w:tc>
      </w:tr>
      <w:tr>
        <w:tc>
          <w:tcPr/>
          <w:p>
            <w:pPr>
              <w:pStyle w:val="Compact"/>
            </w:pPr>
            <w:r>
              <w:t xml:space="preserve">1</w:t>
            </w:r>
          </w:p>
        </w:tc>
        <w:tc>
          <w:tcPr/>
          <w:p>
            <w:pPr>
              <w:pStyle w:val="Compact"/>
            </w:pPr>
            <w:r>
              <w:rPr>
                <w:rFonts w:hint="eastAsia"/>
              </w:rPr>
              <w:t xml:space="preserve">最終一括精算</w:t>
            </w:r>
          </w:p>
        </w:tc>
        <w:tc>
          <w:tcPr/>
          <w:p>
            <w:pPr>
              <w:pStyle w:val="Compact"/>
              <w:jc w:val="right"/>
            </w:pPr>
            <w:r>
              <w:t xml:space="preserve">100%</w:t>
            </w:r>
          </w:p>
        </w:tc>
        <w:tc>
          <w:tcPr/>
          <w:p>
            <w:pPr>
              <w:pStyle w:val="Compact"/>
              <w:jc w:val="right"/>
            </w:pPr>
            <w:r>
              <w:rPr>
                <w:rFonts w:hint="eastAsia"/>
              </w:rPr>
              <w:t xml:space="preserve">3,400,000円</w:t>
            </w:r>
          </w:p>
        </w:tc>
        <w:tc>
          <w:tcPr/>
          <w:p>
            <w:pPr>
              <w:pStyle w:val="Compact"/>
              <w:jc w:val="right"/>
            </w:pPr>
            <w:r>
              <w:rPr>
                <w:rFonts w:hint="eastAsia"/>
              </w:rPr>
              <w:t xml:space="preserve">340,000円</w:t>
            </w:r>
          </w:p>
        </w:tc>
        <w:tc>
          <w:tcPr/>
          <w:p>
            <w:pPr>
              <w:pStyle w:val="Compact"/>
              <w:jc w:val="right"/>
            </w:pPr>
            <w:r>
              <w:rPr>
                <w:rFonts w:hint="eastAsia"/>
              </w:rPr>
              <w:t xml:space="preserve">3,740,000円</w:t>
            </w:r>
          </w:p>
        </w:tc>
        <w:tc>
          <w:tcPr/>
          <w:p>
            <w:pPr>
              <w:pStyle w:val="Compact"/>
            </w:pPr>
            <w:r>
              <w:rPr>
                <w:rFonts w:hint="eastAsia"/>
              </w:rPr>
              <w:t xml:space="preserve">最終成果物の検収完了後5営業日以内</w:t>
            </w:r>
          </w:p>
        </w:tc>
        <w:tc>
          <w:tcPr/>
          <w:p>
            <w:pPr>
              <w:pStyle w:val="Compact"/>
            </w:pPr>
            <w:r>
              <w:t xml:space="preserve">2025-08-04</w:t>
            </w:r>
          </w:p>
        </w:tc>
      </w:tr>
    </w:tbl>
    <w:p>
      <w:pPr>
        <w:pStyle w:val="Compact"/>
        <w:numPr>
          <w:ilvl w:val="0"/>
          <w:numId w:val="1013"/>
        </w:numPr>
      </w:pPr>
      <w:r>
        <w:rPr>
          <w:rFonts w:hint="eastAsia"/>
        </w:rPr>
        <w:t xml:space="preserve">乙は、前項の支払条件に従い請求書を発行し、甲は請求書受領後、支払期日までに乙の指定する銀行口座へ振込送金により支払うものとする。振込手数料は甲の負担とする。</w:t>
      </w:r>
    </w:p>
    <w:bookmarkEnd w:id="16"/>
    <w:bookmarkStart w:id="17" w:name="知的財産権"/>
    <w:p>
      <w:pPr>
        <w:pStyle w:val="Heading2"/>
      </w:pPr>
      <w:r>
        <w:t xml:space="preserve">7. </w:t>
      </w:r>
      <w:r>
        <w:rPr>
          <w:rFonts w:hint="eastAsia"/>
        </w:rPr>
        <w:t xml:space="preserve">知的財産権</w:t>
      </w:r>
    </w:p>
    <w:p>
      <w:pPr>
        <w:numPr>
          <w:ilvl w:val="0"/>
          <w:numId w:val="1014"/>
        </w:numPr>
      </w:pPr>
      <w:r>
        <w:rPr>
          <w:rFonts w:hint="eastAsia"/>
        </w:rPr>
        <w:t xml:space="preserve">甲が乙に提供したデータ、資料、業務情報その他甲に帰属する既存資料に関する権利は、すべて甲に留保される。</w:t>
      </w:r>
    </w:p>
    <w:p>
      <w:pPr>
        <w:numPr>
          <w:ilvl w:val="0"/>
          <w:numId w:val="1014"/>
        </w:numPr>
      </w:pPr>
      <w:r>
        <w:rPr>
          <w:rFonts w:hint="eastAsia"/>
        </w:rPr>
        <w:t xml:space="preserve">乙が本契約の履行により作成した成果物のうち、甲の提供データに基づく分析結果、報告書、資料その他本契約の目的のために作成された納品物に関する著作権（著作権法第27条および第28条の権利を含む。）は、乙が第6条に定める報酬の支払を完了した時点で、甲に移転するものとする。</w:t>
      </w:r>
    </w:p>
    <w:p>
      <w:pPr>
        <w:numPr>
          <w:ilvl w:val="0"/>
          <w:numId w:val="1014"/>
        </w:numPr>
      </w:pPr>
      <w:r>
        <w:rPr>
          <w:rFonts w:hint="eastAsia"/>
        </w:rPr>
        <w:t xml:space="preserve">前項にかかわらず、乙が従前から保有する分析手法、アルゴリズム、テンプレート、ノウハウ、プログラム、ライブラリ、汎用的な処理ロジックその他乙の既存知的財産権は乙に留保されるものとし、甲は本契約の目的の範囲内で成果物利用に必要な限度でこれを非独占的に利用できるものとする。</w:t>
      </w:r>
    </w:p>
    <w:p>
      <w:pPr>
        <w:numPr>
          <w:ilvl w:val="0"/>
          <w:numId w:val="1014"/>
        </w:numPr>
      </w:pPr>
      <w:r>
        <w:rPr>
          <w:rFonts w:hint="eastAsia"/>
        </w:rPr>
        <w:t xml:space="preserve">乙は、甲に対し、成果物について著作者人格権を行使しないものとする。</w:t>
      </w:r>
    </w:p>
    <w:bookmarkEnd w:id="17"/>
    <w:bookmarkStart w:id="18" w:name="秘密保持"/>
    <w:p>
      <w:pPr>
        <w:pStyle w:val="Heading2"/>
      </w:pPr>
      <w:r>
        <w:t xml:space="preserve">8. </w:t>
      </w:r>
      <w:r>
        <w:rPr>
          <w:rFonts w:hint="eastAsia"/>
        </w:rPr>
        <w:t xml:space="preserve">秘密保持</w:t>
      </w:r>
    </w:p>
    <w:p>
      <w:pPr>
        <w:numPr>
          <w:ilvl w:val="0"/>
          <w:numId w:val="1015"/>
        </w:numPr>
      </w:pPr>
      <w:r>
        <w:rPr>
          <w:rFonts w:hint="eastAsia"/>
        </w:rPr>
        <w:t xml:space="preserve">甲および乙は、本契約に関連して知り得た相手方の技術上、営業上、業務上その他一切の非公知情報、ならびに従業員属性情報、給与情報その他の機微情報（以下「秘密情報」という。）を、相手方の事前の書面承諾なく第三者に開示または漏えいしてはならず、本契約の履行以外の目的に使用してはならない。</w:t>
      </w:r>
    </w:p>
    <w:p>
      <w:pPr>
        <w:numPr>
          <w:ilvl w:val="0"/>
          <w:numId w:val="1015"/>
        </w:numPr>
      </w:pPr>
      <w:r>
        <w:rPr>
          <w:rFonts w:hint="eastAsia"/>
        </w:rPr>
        <w:t xml:space="preserve">前項にかかわらず、以下の情報は秘密情報に含まれない。</w:t>
      </w:r>
    </w:p>
    <w:p>
      <w:pPr>
        <w:pStyle w:val="Compact"/>
        <w:numPr>
          <w:ilvl w:val="1"/>
          <w:numId w:val="1016"/>
        </w:numPr>
      </w:pPr>
      <w:r>
        <w:rPr>
          <w:rFonts w:hint="eastAsia"/>
        </w:rPr>
        <w:t xml:space="preserve">開示時に既に公知であった情報</w:t>
      </w:r>
    </w:p>
    <w:p>
      <w:pPr>
        <w:pStyle w:val="Compact"/>
        <w:numPr>
          <w:ilvl w:val="1"/>
          <w:numId w:val="1016"/>
        </w:numPr>
      </w:pPr>
      <w:r>
        <w:rPr>
          <w:rFonts w:hint="eastAsia"/>
        </w:rPr>
        <w:t xml:space="preserve">開示後、受領当事者の責によらず公知となった情報</w:t>
      </w:r>
    </w:p>
    <w:p>
      <w:pPr>
        <w:pStyle w:val="Compact"/>
        <w:numPr>
          <w:ilvl w:val="1"/>
          <w:numId w:val="1016"/>
        </w:numPr>
      </w:pPr>
      <w:r>
        <w:rPr>
          <w:rFonts w:hint="eastAsia"/>
        </w:rPr>
        <w:t xml:space="preserve">開示前に既に適法に保有していた情報</w:t>
      </w:r>
    </w:p>
    <w:p>
      <w:pPr>
        <w:pStyle w:val="Compact"/>
        <w:numPr>
          <w:ilvl w:val="1"/>
          <w:numId w:val="1016"/>
        </w:numPr>
      </w:pPr>
      <w:r>
        <w:rPr>
          <w:rFonts w:hint="eastAsia"/>
        </w:rPr>
        <w:t xml:space="preserve">正当な権限を有する第三者から適法に取得した情報</w:t>
      </w:r>
    </w:p>
    <w:p>
      <w:pPr>
        <w:pStyle w:val="Compact"/>
        <w:numPr>
          <w:ilvl w:val="1"/>
          <w:numId w:val="1016"/>
        </w:numPr>
      </w:pPr>
      <w:r>
        <w:rPr>
          <w:rFonts w:hint="eastAsia"/>
        </w:rPr>
        <w:t xml:space="preserve">秘密情報によらず独自に開発または取得した情報</w:t>
      </w:r>
    </w:p>
    <w:p>
      <w:pPr>
        <w:numPr>
          <w:ilvl w:val="0"/>
          <w:numId w:val="1015"/>
        </w:numPr>
      </w:pPr>
      <w:r>
        <w:rPr>
          <w:rFonts w:hint="eastAsia"/>
        </w:rPr>
        <w:t xml:space="preserve">乙は、People</w:t>
      </w:r>
      <w:r>
        <w:t xml:space="preserve"> </w:t>
      </w:r>
      <w:r>
        <w:rPr>
          <w:rFonts w:hint="eastAsia"/>
        </w:rPr>
        <w:t xml:space="preserve">analytics案件として、差別的解釈の回避、個人情報・給与情報の閲覧範囲配慮、属性情報利用に関する注意事項の文書化を行い、成果物は原則として集計ベースで提示し、個人特定性の高い表現を避けるものとする。</w:t>
      </w:r>
    </w:p>
    <w:p>
      <w:pPr>
        <w:numPr>
          <w:ilvl w:val="0"/>
          <w:numId w:val="1015"/>
        </w:numPr>
      </w:pPr>
      <w:r>
        <w:rPr>
          <w:rFonts w:hint="eastAsia"/>
        </w:rPr>
        <w:t xml:space="preserve">法令、裁判所、監督官庁その他正当な権限を有する機関により開示を求められた場合、当該当事者は、法令上許容される範囲で事前に相手方へ通知したうえで、必要最小限度で開示できるものとする。</w:t>
      </w:r>
    </w:p>
    <w:p>
      <w:pPr>
        <w:numPr>
          <w:ilvl w:val="0"/>
          <w:numId w:val="1015"/>
        </w:numPr>
      </w:pPr>
      <w:r>
        <w:rPr>
          <w:rFonts w:hint="eastAsia"/>
        </w:rPr>
        <w:t xml:space="preserve">本条の義務は、本契約終了後も3年間存続するものとする。</w:t>
      </w:r>
    </w:p>
    <w:bookmarkEnd w:id="18"/>
    <w:bookmarkStart w:id="19" w:name="再委託"/>
    <w:p>
      <w:pPr>
        <w:pStyle w:val="Heading2"/>
      </w:pPr>
      <w:r>
        <w:t xml:space="preserve">9. </w:t>
      </w:r>
      <w:r>
        <w:rPr>
          <w:rFonts w:hint="eastAsia"/>
        </w:rPr>
        <w:t xml:space="preserve">再委託</w:t>
      </w:r>
    </w:p>
    <w:p>
      <w:pPr>
        <w:pStyle w:val="Compact"/>
        <w:numPr>
          <w:ilvl w:val="0"/>
          <w:numId w:val="1017"/>
        </w:numPr>
      </w:pPr>
      <w:r>
        <w:rPr>
          <w:rFonts w:hint="eastAsia"/>
        </w:rPr>
        <w:t xml:space="preserve">乙は、本契約に基づく業務の全部を第三者に再委託してはならない。</w:t>
      </w:r>
    </w:p>
    <w:p>
      <w:pPr>
        <w:pStyle w:val="Compact"/>
        <w:numPr>
          <w:ilvl w:val="0"/>
          <w:numId w:val="1017"/>
        </w:numPr>
      </w:pPr>
      <w:r>
        <w:rPr>
          <w:rFonts w:hint="eastAsia"/>
        </w:rPr>
        <w:t xml:space="preserve">乙が本契約に基づく業務の一部を再委託する必要がある場合には、事前に甲の書面承諾を得なければならない。</w:t>
      </w:r>
    </w:p>
    <w:p>
      <w:pPr>
        <w:pStyle w:val="Compact"/>
        <w:numPr>
          <w:ilvl w:val="0"/>
          <w:numId w:val="1017"/>
        </w:numPr>
      </w:pPr>
      <w:r>
        <w:rPr>
          <w:rFonts w:hint="eastAsia"/>
        </w:rPr>
        <w:t xml:space="preserve">乙は、再委託先に対して、本契約と同等以上の秘密保持義務および個人情報保護義務を課し、その履行について一切の責任を負うものとする。</w:t>
      </w:r>
    </w:p>
    <w:bookmarkEnd w:id="19"/>
    <w:bookmarkStart w:id="20" w:name="解除"/>
    <w:p>
      <w:pPr>
        <w:pStyle w:val="Heading2"/>
      </w:pPr>
      <w:r>
        <w:t xml:space="preserve">10. </w:t>
      </w:r>
      <w:r>
        <w:rPr>
          <w:rFonts w:hint="eastAsia"/>
        </w:rPr>
        <w:t xml:space="preserve">解除</w:t>
      </w:r>
    </w:p>
    <w:p>
      <w:pPr>
        <w:numPr>
          <w:ilvl w:val="0"/>
          <w:numId w:val="1018"/>
        </w:numPr>
      </w:pPr>
      <w:r>
        <w:rPr>
          <w:rFonts w:hint="eastAsia"/>
        </w:rPr>
        <w:t xml:space="preserve">甲または乙は、相手方が本契約に違反し、相当期間を定めて是正を催告したにもかかわらず、当該期間内に是正されない場合、本契約の全部または一部を解除することができる。</w:t>
      </w:r>
    </w:p>
    <w:p>
      <w:pPr>
        <w:numPr>
          <w:ilvl w:val="0"/>
          <w:numId w:val="1018"/>
        </w:numPr>
      </w:pPr>
      <w:r>
        <w:rPr>
          <w:rFonts w:hint="eastAsia"/>
        </w:rPr>
        <w:t xml:space="preserve">甲または乙は、相手方に次の各号の一に該当する事由が生じた場合、何らの催告を要せず直ちに本契約を解除することができる。</w:t>
      </w:r>
    </w:p>
    <w:p>
      <w:pPr>
        <w:pStyle w:val="Compact"/>
        <w:numPr>
          <w:ilvl w:val="1"/>
          <w:numId w:val="1019"/>
        </w:numPr>
      </w:pPr>
      <w:r>
        <w:rPr>
          <w:rFonts w:hint="eastAsia"/>
        </w:rPr>
        <w:t xml:space="preserve">支払停止または支払不能となったとき</w:t>
      </w:r>
    </w:p>
    <w:p>
      <w:pPr>
        <w:pStyle w:val="Compact"/>
        <w:numPr>
          <w:ilvl w:val="1"/>
          <w:numId w:val="1019"/>
        </w:numPr>
      </w:pPr>
      <w:r>
        <w:rPr>
          <w:rFonts w:hint="eastAsia"/>
        </w:rPr>
        <w:t xml:space="preserve">破産手続開始、民事再生手続開始、会社更生手続開始、特別清算開始その他これらに類する手続開始の申立てがあったとき</w:t>
      </w:r>
    </w:p>
    <w:p>
      <w:pPr>
        <w:pStyle w:val="Compact"/>
        <w:numPr>
          <w:ilvl w:val="1"/>
          <w:numId w:val="1019"/>
        </w:numPr>
      </w:pPr>
      <w:r>
        <w:rPr>
          <w:rFonts w:hint="eastAsia"/>
        </w:rPr>
        <w:t xml:space="preserve">差押え、仮差押え、仮処分、強制執行または競売の申立てを受けたとき</w:t>
      </w:r>
    </w:p>
    <w:p>
      <w:pPr>
        <w:pStyle w:val="Compact"/>
        <w:numPr>
          <w:ilvl w:val="1"/>
          <w:numId w:val="1019"/>
        </w:numPr>
      </w:pPr>
      <w:r>
        <w:rPr>
          <w:rFonts w:hint="eastAsia"/>
        </w:rPr>
        <w:t xml:space="preserve">監督官庁より営業停止その他重大な処分を受けたとき</w:t>
      </w:r>
    </w:p>
    <w:p>
      <w:pPr>
        <w:pStyle w:val="Compact"/>
        <w:numPr>
          <w:ilvl w:val="1"/>
          <w:numId w:val="1019"/>
        </w:numPr>
      </w:pPr>
      <w:r>
        <w:rPr>
          <w:rFonts w:hint="eastAsia"/>
        </w:rPr>
        <w:t xml:space="preserve">解散または事業の全部もしくは重要な一部の譲渡を決議したとき</w:t>
      </w:r>
    </w:p>
    <w:p>
      <w:pPr>
        <w:pStyle w:val="Compact"/>
        <w:numPr>
          <w:ilvl w:val="1"/>
          <w:numId w:val="1019"/>
        </w:numPr>
      </w:pPr>
      <w:r>
        <w:rPr>
          <w:rFonts w:hint="eastAsia"/>
        </w:rPr>
        <w:t xml:space="preserve">反社会的勢力に該当し、またはこれと関係を有することが判明したとき</w:t>
      </w:r>
    </w:p>
    <w:p>
      <w:pPr>
        <w:numPr>
          <w:ilvl w:val="0"/>
          <w:numId w:val="1018"/>
        </w:numPr>
      </w:pPr>
      <w:r>
        <w:rPr>
          <w:rFonts w:hint="eastAsia"/>
        </w:rPr>
        <w:t xml:space="preserve">契約期間中に本契約が終了した場合、乙は終了日までに実施した業務に相当する実績工数分の報酬を甲に請求できるものとし、甲はこれを支払うものとする。</w:t>
      </w:r>
    </w:p>
    <w:bookmarkEnd w:id="20"/>
    <w:bookmarkStart w:id="21" w:name="責任範囲"/>
    <w:p>
      <w:pPr>
        <w:pStyle w:val="Heading2"/>
      </w:pPr>
      <w:r>
        <w:t xml:space="preserve">11. </w:t>
      </w:r>
      <w:r>
        <w:rPr>
          <w:rFonts w:hint="eastAsia"/>
        </w:rPr>
        <w:t xml:space="preserve">責任範囲</w:t>
      </w:r>
    </w:p>
    <w:p>
      <w:pPr>
        <w:numPr>
          <w:ilvl w:val="0"/>
          <w:numId w:val="1020"/>
        </w:numPr>
      </w:pPr>
      <w:r>
        <w:rPr>
          <w:rFonts w:hint="eastAsia"/>
        </w:rPr>
        <w:t xml:space="preserve">乙は、善良なる管理者の注意義務をもって本業務を遂行するものとし、分析結果の解釈、活用およびこれに基づく甲の経営判断、人事判断、制度運用その他の結果について最終責任を負わない。</w:t>
      </w:r>
    </w:p>
    <w:p>
      <w:pPr>
        <w:numPr>
          <w:ilvl w:val="0"/>
          <w:numId w:val="1020"/>
        </w:numPr>
      </w:pPr>
      <w:r>
        <w:rPr>
          <w:rFonts w:hint="eastAsia"/>
        </w:rPr>
        <w:t xml:space="preserve">乙は、以下の事項について責任を負わない。</w:t>
      </w:r>
    </w:p>
    <w:p>
      <w:pPr>
        <w:pStyle w:val="Compact"/>
        <w:numPr>
          <w:ilvl w:val="1"/>
          <w:numId w:val="1021"/>
        </w:numPr>
      </w:pPr>
      <w:r>
        <w:rPr>
          <w:rFonts w:hint="eastAsia"/>
        </w:rPr>
        <w:t xml:space="preserve">甲が提供したデータの真実性、完全性、正確性または適法性に起因する問題</w:t>
      </w:r>
    </w:p>
    <w:p>
      <w:pPr>
        <w:pStyle w:val="Compact"/>
        <w:numPr>
          <w:ilvl w:val="1"/>
          <w:numId w:val="1021"/>
        </w:numPr>
      </w:pPr>
      <w:r>
        <w:rPr>
          <w:rFonts w:hint="eastAsia"/>
        </w:rPr>
        <w:t xml:space="preserve">時系列情報が存在しないこと、追加データがないことその他本契約上の制約に起因する分析限界</w:t>
      </w:r>
    </w:p>
    <w:p>
      <w:pPr>
        <w:pStyle w:val="Compact"/>
        <w:numPr>
          <w:ilvl w:val="1"/>
          <w:numId w:val="1021"/>
        </w:numPr>
      </w:pPr>
      <w:r>
        <w:rPr>
          <w:rFonts w:hint="eastAsia"/>
        </w:rPr>
        <w:t xml:space="preserve">分析結果を因果関係と誤認したことによる損害</w:t>
      </w:r>
    </w:p>
    <w:p>
      <w:pPr>
        <w:pStyle w:val="Compact"/>
        <w:numPr>
          <w:ilvl w:val="1"/>
          <w:numId w:val="1021"/>
        </w:numPr>
      </w:pPr>
      <w:r>
        <w:rPr>
          <w:rFonts w:hint="eastAsia"/>
        </w:rPr>
        <w:t xml:space="preserve">分析結果を個人単位の処遇決定、自動査定、自動選別その他対象外用途に利用したことによる損害</w:t>
      </w:r>
    </w:p>
    <w:p>
      <w:pPr>
        <w:numPr>
          <w:ilvl w:val="0"/>
          <w:numId w:val="1020"/>
        </w:numPr>
      </w:pPr>
      <w:r>
        <w:rPr>
          <w:rFonts w:hint="eastAsia"/>
        </w:rPr>
        <w:t xml:space="preserve">乙の甲に対する損害賠償責任は、乙の故意または重過失による場合を除き、甲が本契約に基づき乙に実際に支払った金額を上限とする。</w:t>
      </w:r>
    </w:p>
    <w:p>
      <w:pPr>
        <w:numPr>
          <w:ilvl w:val="0"/>
          <w:numId w:val="1020"/>
        </w:numPr>
      </w:pPr>
      <w:r>
        <w:rPr>
          <w:rFonts w:hint="eastAsia"/>
        </w:rPr>
        <w:t xml:space="preserve">いずれの当事者も、特別損害、間接損害、逸失利益については、相手方に対して責任を負わないものとする。ただし、故意または重過失による場合を除く。</w:t>
      </w:r>
    </w:p>
    <w:bookmarkEnd w:id="21"/>
    <w:bookmarkStart w:id="22" w:name="準拠法および裁判管轄"/>
    <w:p>
      <w:pPr>
        <w:pStyle w:val="Heading2"/>
      </w:pPr>
      <w:r>
        <w:t xml:space="preserve">12. </w:t>
      </w:r>
      <w:r>
        <w:rPr>
          <w:rFonts w:hint="eastAsia"/>
        </w:rPr>
        <w:t xml:space="preserve">準拠法および裁判管轄</w:t>
      </w:r>
    </w:p>
    <w:p>
      <w:pPr>
        <w:pStyle w:val="Compact"/>
        <w:numPr>
          <w:ilvl w:val="0"/>
          <w:numId w:val="1022"/>
        </w:numPr>
      </w:pPr>
      <w:r>
        <w:rPr>
          <w:rFonts w:hint="eastAsia"/>
        </w:rPr>
        <w:t xml:space="preserve">本契約は、日本法に準拠し、日本法に従って解釈されるものとする。</w:t>
      </w:r>
    </w:p>
    <w:p>
      <w:pPr>
        <w:pStyle w:val="Compact"/>
        <w:numPr>
          <w:ilvl w:val="0"/>
          <w:numId w:val="1022"/>
        </w:numPr>
      </w:pPr>
      <w:r>
        <w:rPr>
          <w:rFonts w:hint="eastAsia"/>
        </w:rPr>
        <w:t xml:space="preserve">本契約に関して生じる一切の紛争については、東京地方裁判所を第一審の専属的合意管轄裁判所とする。</w:t>
      </w:r>
    </w:p>
    <w:bookmarkEnd w:id="22"/>
    <w:bookmarkStart w:id="25" w:name="署名欄"/>
    <w:p>
      <w:pPr>
        <w:pStyle w:val="Heading2"/>
      </w:pPr>
      <w:r>
        <w:t xml:space="preserve">13. </w:t>
      </w:r>
      <w:r>
        <w:rPr>
          <w:rFonts w:hint="eastAsia"/>
        </w:rPr>
        <w:t xml:space="preserve">署名欄</w:t>
      </w:r>
    </w:p>
    <w:p>
      <w:pPr>
        <w:pStyle w:val="FirstParagraph"/>
      </w:pPr>
      <w:r>
        <w:rPr>
          <w:rFonts w:hint="eastAsia"/>
        </w:rPr>
        <w:t xml:space="preserve">本契約締結の証として、本書を2通作成し、甲乙各1通を保有する。</w:t>
      </w:r>
    </w:p>
    <w:p>
      <w:pPr>
        <w:pStyle w:val="BodyText"/>
      </w:pPr>
      <w:r>
        <w:rPr>
          <w:rFonts w:hint="eastAsia"/>
          <w:b/>
          <w:bCs/>
        </w:rPr>
        <w:t xml:space="preserve">契約締結日／効力発生日：2025-06-23</w:t>
      </w:r>
    </w:p>
    <w:bookmarkStart w:id="23" w:name="甲-1"/>
    <w:p>
      <w:pPr>
        <w:pStyle w:val="Heading3"/>
      </w:pPr>
      <w:r>
        <w:rPr>
          <w:rFonts w:hint="eastAsia"/>
        </w:rPr>
        <w:t xml:space="preserve">甲</w:t>
      </w:r>
    </w:p>
    <w:p>
      <w:pPr>
        <w:pStyle w:val="FirstParagraph"/>
      </w:pPr>
      <w:r>
        <w:rPr>
          <w:rFonts w:hint="eastAsia"/>
        </w:rPr>
        <w:t xml:space="preserve">株式会社青葉バイオメディカル機器</w:t>
      </w:r>
      <w:r>
        <w:br/>
      </w:r>
      <w:r>
        <w:rPr>
          <w:rFonts w:hint="eastAsia"/>
        </w:rPr>
        <w:t xml:space="preserve">人事本部</w:t>
      </w:r>
      <w:r>
        <w:t xml:space="preserve"> </w:t>
      </w:r>
      <w:r>
        <w:rPr>
          <w:rFonts w:hint="eastAsia"/>
        </w:rPr>
        <w:t xml:space="preserve">人材戦略部</w:t>
      </w:r>
      <w:r>
        <w:br/>
      </w:r>
      <w:r>
        <w:rPr>
          <w:rFonts w:hint="eastAsia"/>
        </w:rPr>
        <w:t xml:space="preserve">人材戦略部長</w:t>
      </w:r>
      <w:r>
        <w:t xml:space="preserve">　</w:t>
      </w:r>
      <w:r>
        <w:rPr>
          <w:rFonts w:hint="eastAsia"/>
        </w:rPr>
        <w:t xml:space="preserve">山田</w:t>
      </w:r>
      <w:r>
        <w:t xml:space="preserve"> </w:t>
      </w:r>
      <w:r>
        <w:rPr>
          <w:rFonts w:hint="eastAsia"/>
        </w:rPr>
        <w:t xml:space="preserve">太一</w:t>
      </w:r>
    </w:p>
    <w:bookmarkEnd w:id="23"/>
    <w:bookmarkStart w:id="24" w:name="乙-1"/>
    <w:p>
      <w:pPr>
        <w:pStyle w:val="Heading3"/>
      </w:pPr>
      <w:r>
        <w:rPr>
          <w:rFonts w:hint="eastAsia"/>
        </w:rPr>
        <w:t xml:space="preserve">乙</w:t>
      </w:r>
    </w:p>
    <w:p>
      <w:pPr>
        <w:pStyle w:val="FirstParagraph"/>
      </w:pPr>
      <w:r>
        <w:rPr>
          <w:rFonts w:hint="eastAsia"/>
        </w:rPr>
        <w:t xml:space="preserve">株式会社データアステル</w:t>
      </w:r>
      <w:r>
        <w:br/>
      </w:r>
      <w:r>
        <w:rPr>
          <w:rFonts w:hint="eastAsia"/>
        </w:rPr>
        <w:t xml:space="preserve">データサイエンス部</w:t>
      </w:r>
      <w:r>
        <w:br/>
      </w:r>
      <w:r>
        <w:rPr>
          <w:rFonts w:hint="eastAsia"/>
        </w:rPr>
        <w:t xml:space="preserve">代表者または権限ある契約締結者</w:t>
      </w:r>
    </w:p>
    <w:bookmarkEnd w:id="24"/>
    <w:bookmarkEnd w:id="25"/>
    <w:bookmarkStart w:id="26" w:name="特約事項追加対応の扱い"/>
    <w:p>
      <w:pPr>
        <w:pStyle w:val="Heading2"/>
      </w:pPr>
      <w:r>
        <w:t xml:space="preserve">14. </w:t>
      </w:r>
      <w:r>
        <w:rPr>
          <w:rFonts w:hint="eastAsia"/>
        </w:rPr>
        <w:t xml:space="preserve">特約事項（追加対応の扱い）</w:t>
      </w:r>
    </w:p>
    <w:p>
      <w:pPr>
        <w:pStyle w:val="Compact"/>
        <w:numPr>
          <w:ilvl w:val="0"/>
          <w:numId w:val="1023"/>
        </w:numPr>
      </w:pPr>
      <w:r>
        <w:rPr>
          <w:rFonts w:hint="eastAsia"/>
        </w:rPr>
        <w:t xml:space="preserve">追加対応は時間単価ベースで別途見積または追加発注として扱う。</w:t>
      </w:r>
    </w:p>
    <w:p>
      <w:pPr>
        <w:pStyle w:val="Compact"/>
        <w:numPr>
          <w:ilvl w:val="0"/>
          <w:numId w:val="1023"/>
        </w:numPr>
      </w:pPr>
      <w:r>
        <w:rPr>
          <w:rFonts w:hint="eastAsia"/>
        </w:rPr>
        <w:t xml:space="preserve">追加対応が発生しない前提は置かない。</w:t>
      </w:r>
    </w:p>
    <w:p>
      <w:pPr>
        <w:pStyle w:val="Compact"/>
        <w:numPr>
          <w:ilvl w:val="0"/>
          <w:numId w:val="1023"/>
        </w:numPr>
      </w:pPr>
      <w:r>
        <w:rPr>
          <w:rFonts w:hint="eastAsia"/>
        </w:rPr>
        <w:t xml:space="preserve">当初スコープ外の分析、追加資料作成、会議増加、追加レビュー、追加データ対応等が必要となる場合、甲乙は都度、影響範囲、実施可否、追加工数および実施条件を協議し、合意のうえ対応するものとする。</w:t>
      </w:r>
    </w:p>
    <w:p>
      <w:pPr>
        <w:pStyle w:val="Compact"/>
        <w:numPr>
          <w:ilvl w:val="0"/>
          <w:numId w:val="1023"/>
        </w:numPr>
      </w:pPr>
      <w:r>
        <w:rPr>
          <w:rFonts w:hint="eastAsia"/>
        </w:rPr>
        <w:t xml:space="preserve">追加対応が実施される場合の単価は、第6条に定める時間単価20,000円（税抜）/時を適用するものとし、別途合意がある場合を除き、工数丸め単位は30分とする。</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2026-04-07T09:57:24Z</dcterms:created>
  <dcterms:modified xsi:type="dcterms:W3CDTF">2026-04-07T09:57:24Z</dcterms:modified>
</cp:coreProperties>
</file>

<file path=docProps/custom.xml><?xml version="1.0" encoding="utf-8"?>
<Properties xmlns="http://schemas.openxmlformats.org/officeDocument/2006/custom-properties" xmlns:vt="http://schemas.openxmlformats.org/officeDocument/2006/docPropsVTypes"/>
</file>