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28"/>
          <w:szCs w:val="28"/>
        </w:rPr>
        <w:t xml:space="preserve">Relatório de Aula Prática — Avaliação Neuropsicológica da Motricidade</w:t>
      </w:r>
    </w:p>
    <w:p>
      <w:pPr>
        <w:spacing w:after="80"/>
        <w:jc w:val="center"/>
      </w:pPr>
      <w:r>
        <w:rPr>
          <w:rFonts w:ascii="Arial" w:cs="Arial" w:eastAsia="Arial" w:hAnsi="Arial"/>
          <w:color w:val="595959"/>
          <w:sz w:val="22"/>
          <w:szCs w:val="22"/>
        </w:rPr>
        <w:t xml:space="preserve">Disciplina: Neuropsicologia</w:t>
      </w:r>
    </w:p>
    <w:p>
      <w:pPr>
        <w:spacing w:after="80"/>
        <w:jc w:val="center"/>
      </w:pPr>
      <w:r>
        <w:rPr>
          <w:rFonts w:ascii="Arial" w:cs="Arial" w:eastAsia="Arial" w:hAnsi="Arial"/>
          <w:color w:val="595959"/>
          <w:sz w:val="22"/>
          <w:szCs w:val="22"/>
        </w:rPr>
        <w:t xml:space="preserve">Aplicador: L.F.  |  Avaliado: J.B.L.</w:t>
      </w:r>
    </w:p>
    <w:p>
      <w:pPr>
        <w:pBdr>
          <w:bottom w:val="single" w:color="2E5496" w:sz="6" w:space="6"/>
        </w:pBdr>
        <w:spacing w:after="400"/>
        <w:jc w:val="center"/>
      </w:pPr>
      <w:r>
        <w:rPr>
          <w:rFonts w:ascii="Arial" w:cs="Arial" w:eastAsia="Arial" w:hAnsi="Arial"/>
          <w:sz w:val="22"/>
          <w:szCs w:val="22"/>
        </w:rPr>
        <w:t xml:space="preserve"/>
      </w:r>
    </w:p>
    <w:p>
      <w:pPr>
        <w:pStyle w:val="Heading1"/>
        <w:spacing w:before="320" w:after="160"/>
      </w:pPr>
      <w:r>
        <w:rPr>
          <w:rFonts w:ascii="Arial" w:cs="Arial" w:eastAsia="Arial" w:hAnsi="Arial"/>
          <w:b/>
          <w:bCs/>
          <w:sz w:val="28"/>
          <w:szCs w:val="28"/>
        </w:rPr>
        <w:t xml:space="preserve">1. Introdução</w:t>
      </w:r>
    </w:p>
    <w:p>
      <w:pPr>
        <w:spacing w:after="160" w:line="360"/>
        <w:ind w:firstLine="720"/>
        <w:jc w:val="both"/>
      </w:pPr>
      <w:r>
        <w:rPr>
          <w:rFonts w:ascii="Arial" w:cs="Arial" w:eastAsia="Arial" w:hAnsi="Arial"/>
          <w:sz w:val="24"/>
          <w:szCs w:val="24"/>
        </w:rPr>
        <w:t xml:space="preserve">A avaliação neuropsicológica da motricidade constitui um campo essencial para a compreensão das relações entre funções cerebrais e o controle motor. Na aula prática em questão, foram aplicados três instrumentos amplamente utilizados nesse contexto: o Finger Tapping Test (FTT), o Inventário de Lateralidade de Edimburgo e a Figura Complexa de Rey. Cada instrumento fornece informações complementares sobre aspectos distintos da organização motora e cognitiva do avaliado.</w:t>
      </w:r>
    </w:p>
    <w:p>
      <w:pPr>
        <w:pStyle w:val="Heading1"/>
        <w:spacing w:before="320" w:after="160"/>
      </w:pPr>
      <w:r>
        <w:rPr>
          <w:rFonts w:ascii="Arial" w:cs="Arial" w:eastAsia="Arial" w:hAnsi="Arial"/>
          <w:b/>
          <w:bCs/>
          <w:sz w:val="28"/>
          <w:szCs w:val="28"/>
        </w:rPr>
        <w:t xml:space="preserve">2. Instrumentos Utilizados</w:t>
      </w:r>
    </w:p>
    <w:p>
      <w:pPr>
        <w:pStyle w:val="Heading2"/>
        <w:spacing w:before="240" w:after="120"/>
      </w:pPr>
      <w:r>
        <w:rPr>
          <w:rFonts w:ascii="Arial" w:cs="Arial" w:eastAsia="Arial" w:hAnsi="Arial"/>
          <w:b/>
          <w:bCs/>
          <w:sz w:val="24"/>
          <w:szCs w:val="24"/>
        </w:rPr>
        <w:t xml:space="preserve">2.1 Finger Tapping Test (FTT)</w:t>
      </w:r>
    </w:p>
    <w:p>
      <w:pPr>
        <w:spacing w:after="160" w:line="360"/>
        <w:ind w:firstLine="720"/>
        <w:jc w:val="both"/>
      </w:pPr>
      <w:r>
        <w:rPr>
          <w:rFonts w:ascii="Arial" w:cs="Arial" w:eastAsia="Arial" w:hAnsi="Arial"/>
          <w:sz w:val="24"/>
          <w:szCs w:val="24"/>
        </w:rPr>
        <w:t xml:space="preserve">O FTT é um teste neuropsicológico clássico que mensura a velocidade e a destreza motora fina de cada mão separadamente. O avaliado deve pressionar uma tecla com o dedo indicador o maior número de vezes possível em intervalos de tempo determinados. Os resultados permitem identificar assimetrias interhemisféricas, rastrear disfunções motoras e obter indicadores de integridade do sistema nervoso central, especialmente das vias corticoespinhais.</w:t>
      </w:r>
    </w:p>
    <w:p>
      <w:pPr>
        <w:pStyle w:val="Heading2"/>
        <w:spacing w:before="240" w:after="120"/>
      </w:pPr>
      <w:r>
        <w:rPr>
          <w:rFonts w:ascii="Arial" w:cs="Arial" w:eastAsia="Arial" w:hAnsi="Arial"/>
          <w:b/>
          <w:bCs/>
          <w:sz w:val="24"/>
          <w:szCs w:val="24"/>
        </w:rPr>
        <w:t xml:space="preserve">2.2 Inventário de Lateralidade de Edimburgo</w:t>
      </w:r>
    </w:p>
    <w:p>
      <w:pPr>
        <w:spacing w:after="160" w:line="360"/>
        <w:ind w:firstLine="720"/>
        <w:jc w:val="both"/>
      </w:pPr>
      <w:r>
        <w:rPr>
          <w:rFonts w:ascii="Arial" w:cs="Arial" w:eastAsia="Arial" w:hAnsi="Arial"/>
          <w:sz w:val="24"/>
          <w:szCs w:val="24"/>
        </w:rPr>
        <w:t xml:space="preserve">Desenvolvido por Oldfield (1971), o Inventário de Edimburgo avalia a preferência manual do indivíduo por meio de um questionário que inclui tarefas cotidianas como escrever, desenhar e cortar com tesoura. A pontuação varia de −100 (canhotismo completo) a +100 (destrocismo completo), com valores intermediários indicando ambidestria ou dominância mista.</w:t>
      </w:r>
    </w:p>
    <w:p>
      <w:pPr>
        <w:pStyle w:val="Heading2"/>
        <w:spacing w:before="240" w:after="120"/>
      </w:pPr>
      <w:r>
        <w:rPr>
          <w:rFonts w:ascii="Arial" w:cs="Arial" w:eastAsia="Arial" w:hAnsi="Arial"/>
          <w:b/>
          <w:bCs/>
          <w:sz w:val="24"/>
          <w:szCs w:val="24"/>
        </w:rPr>
        <w:t xml:space="preserve">2.3 Figura Complexa de Rey (FCR)</w:t>
      </w:r>
    </w:p>
    <w:p>
      <w:pPr>
        <w:spacing w:after="160" w:line="360"/>
        <w:ind w:firstLine="720"/>
        <w:jc w:val="both"/>
      </w:pPr>
      <w:r>
        <w:rPr>
          <w:rFonts w:ascii="Arial" w:cs="Arial" w:eastAsia="Arial" w:hAnsi="Arial"/>
          <w:sz w:val="24"/>
          <w:szCs w:val="24"/>
        </w:rPr>
        <w:t xml:space="preserve">A Figura Complexa de Rey é um instrumento que avalia simultaneamente a organização perceptual, a memória visual e as funções executivas, em especial o planejamento e a atenção. Na fase de cópia, que foi a realizada nesta prática, analisa-se a estratégia utilizada pelo avaliado para reproduzir uma figura geométrica de alta complexidade estrutural, observando-se a sequência de traços, a precisão, a organização espacial e a fidelidade ao modelo original.</w:t>
      </w:r>
    </w:p>
    <w:p>
      <w:pPr>
        <w:pStyle w:val="Heading1"/>
        <w:spacing w:before="320" w:after="160"/>
      </w:pPr>
      <w:r>
        <w:rPr>
          <w:rFonts w:ascii="Arial" w:cs="Arial" w:eastAsia="Arial" w:hAnsi="Arial"/>
          <w:b/>
          <w:bCs/>
          <w:sz w:val="28"/>
          <w:szCs w:val="28"/>
        </w:rPr>
        <w:t xml:space="preserve">3. Procedimento</w:t>
      </w:r>
    </w:p>
    <w:p>
      <w:pPr>
        <w:spacing w:after="160" w:line="360"/>
        <w:ind w:firstLine="720"/>
        <w:jc w:val="both"/>
      </w:pPr>
      <w:r>
        <w:rPr>
          <w:rFonts w:ascii="Arial" w:cs="Arial" w:eastAsia="Arial" w:hAnsi="Arial"/>
          <w:sz w:val="24"/>
          <w:szCs w:val="24"/>
        </w:rPr>
        <w:t xml:space="preserve">A aplicação ocorreu de forma individual. O avaliado (J.B.L.) foi instruído verbalmente pelo aplicador (L.F.) conforme os manuais padronizados de cada instrumento. Os testes foram realizados em sequência: primeiramente o FTT, seguido pelo Inventário de Edimburgo e, por fim, a cópia da Figura Complexa de Rey. O ambiente de aplicação foi controlado, com mínima interferência de estímulos externos. Para o FTT, foram realizadas múltiplas tentativas em cada mão para cálculo de médias. Para a Figura de Rey, foram fornecidos lápis e papel padronizados, sem acesso ao modelo durante a cópia.</w:t>
      </w:r>
    </w:p>
    <w:p>
      <w:pPr>
        <w:pStyle w:val="Heading1"/>
        <w:spacing w:before="320" w:after="160"/>
      </w:pPr>
      <w:r>
        <w:rPr>
          <w:rFonts w:ascii="Arial" w:cs="Arial" w:eastAsia="Arial" w:hAnsi="Arial"/>
          <w:b/>
          <w:bCs/>
          <w:sz w:val="28"/>
          <w:szCs w:val="28"/>
        </w:rPr>
        <w:t xml:space="preserve">4. Resultados e Discussão</w:t>
      </w:r>
    </w:p>
    <w:p>
      <w:pPr>
        <w:pStyle w:val="Heading2"/>
        <w:spacing w:before="240" w:after="120"/>
      </w:pPr>
      <w:r>
        <w:rPr>
          <w:rFonts w:ascii="Arial" w:cs="Arial" w:eastAsia="Arial" w:hAnsi="Arial"/>
          <w:b/>
          <w:bCs/>
          <w:sz w:val="24"/>
          <w:szCs w:val="24"/>
        </w:rPr>
        <w:t xml:space="preserve">4.1 Finger Tapping Test</w:t>
      </w:r>
    </w:p>
    <w:p>
      <w:pPr>
        <w:spacing w:after="160" w:line="360"/>
        <w:ind w:firstLine="720"/>
        <w:jc w:val="both"/>
      </w:pPr>
      <w:r>
        <w:rPr>
          <w:rFonts w:ascii="Arial" w:cs="Arial" w:eastAsia="Arial" w:hAnsi="Arial"/>
          <w:sz w:val="24"/>
          <w:szCs w:val="24"/>
        </w:rPr>
        <w:t xml:space="preserve">O avaliado J.B.L. obteve média de 56,2 batidas por intervalo com a mão esquerda e 63,6 com a mão direita. A diferença de aproximadamente 7,4 pontos em favor do lado direito é consistente com o padrão esperado para destros, nos quais a mão dominante tipicamente supera a não dominante em cerca de 10% do valor total — o que aqui se confirma com uma diferença de aproximadamente 13%. Os valores absolutos estão dentro da faixa normativa para adultos jovens, sugerindo integridade das vias motoras e ausência de comprometimento neurológico grosseiro. A assimetria observada indica dominância hemisférica esquerda para o controle motor, compatível com lateralidade destra.</w:t>
      </w:r>
    </w:p>
    <w:p>
      <w:pPr>
        <w:pStyle w:val="Heading2"/>
        <w:spacing w:before="240" w:after="120"/>
      </w:pPr>
      <w:r>
        <w:rPr>
          <w:rFonts w:ascii="Arial" w:cs="Arial" w:eastAsia="Arial" w:hAnsi="Arial"/>
          <w:b/>
          <w:bCs/>
          <w:sz w:val="24"/>
          <w:szCs w:val="24"/>
        </w:rPr>
        <w:t xml:space="preserve">4.2 Inventário de Lateralidade de Edimburgo</w:t>
      </w:r>
    </w:p>
    <w:p>
      <w:pPr>
        <w:spacing w:after="160" w:line="360"/>
        <w:ind w:firstLine="720"/>
        <w:jc w:val="both"/>
      </w:pPr>
      <w:r>
        <w:rPr>
          <w:rFonts w:ascii="Arial" w:cs="Arial" w:eastAsia="Arial" w:hAnsi="Arial"/>
          <w:sz w:val="24"/>
          <w:szCs w:val="24"/>
        </w:rPr>
        <w:t xml:space="preserve">O quociente de lateralidade obtido foi de 71,4, classificando J.B.L. como destro com lateralidade forte, porém não completa. Isso indica que, embora exista clara preferência pela mão direita na maioria das tarefas, pode haver alguma flexibilidade em atividades específicas. Esse resultado é coerente com a assimetria verificada no FTT, reforçando a consistência do perfil motor do avaliado.</w:t>
      </w:r>
    </w:p>
    <w:p>
      <w:pPr>
        <w:pStyle w:val="Heading2"/>
        <w:spacing w:before="240" w:after="120"/>
      </w:pPr>
      <w:r>
        <w:rPr>
          <w:rFonts w:ascii="Arial" w:cs="Arial" w:eastAsia="Arial" w:hAnsi="Arial"/>
          <w:b/>
          <w:bCs/>
          <w:sz w:val="24"/>
          <w:szCs w:val="24"/>
        </w:rPr>
        <w:t xml:space="preserve">4.3 Figura Complexa de Rey — Cópia</w:t>
      </w:r>
    </w:p>
    <w:p>
      <w:pPr>
        <w:spacing w:after="160" w:line="360"/>
        <w:ind w:firstLine="720"/>
        <w:jc w:val="both"/>
      </w:pPr>
      <w:r>
        <w:rPr>
          <w:rFonts w:ascii="Arial" w:cs="Arial" w:eastAsia="Arial" w:hAnsi="Arial"/>
          <w:sz w:val="24"/>
          <w:szCs w:val="24"/>
        </w:rPr>
        <w:t xml:space="preserve">Ressalvo que a análise detalhada da cópia permanece com o aplicador L.F., de modo que os comentários a seguir baseiam-se nas observações realizadas durante a aplicação e nas impressões gerais do desempenho.</w:t>
      </w:r>
    </w:p>
    <w:p>
      <w:pPr>
        <w:spacing w:after="160" w:line="360"/>
        <w:ind w:firstLine="720"/>
        <w:jc w:val="both"/>
      </w:pPr>
      <w:r>
        <w:rPr>
          <w:rFonts w:ascii="Arial" w:cs="Arial" w:eastAsia="Arial" w:hAnsi="Arial"/>
          <w:sz w:val="24"/>
          <w:szCs w:val="24"/>
        </w:rPr>
        <w:t xml:space="preserve">De forma geral, J.B.L. demonstrou boa localização dos elementos principais da figura dentro do espaço do papel, o que indica capacidade razoável de organização espacial global. No entanto, a precisão na reprodução dos detalhes foi prejudicada: alguns traços apresentaram inversões e proporções alteradas em relação ao modelo, o que pode indicar dificuldades na atenção sustentada aos detalhes durante a execução.</w:t>
      </w:r>
    </w:p>
    <w:p>
      <w:pPr>
        <w:spacing w:after="160" w:line="360"/>
        <w:ind w:firstLine="720"/>
        <w:jc w:val="both"/>
      </w:pPr>
      <w:r>
        <w:rPr>
          <w:rFonts w:ascii="Arial" w:cs="Arial" w:eastAsia="Arial" w:hAnsi="Arial"/>
          <w:sz w:val="24"/>
          <w:szCs w:val="24"/>
        </w:rPr>
        <w:t xml:space="preserve">Do ponto de vista clínico, a estratégia de cópia pareceu partir do contorno geral antes de adicionar os elementos internos — uma abordagem considerada mais organizada —, embora a inconsistência na precisão sugira que a atenção se dispersou ao longo da tarefa. A qualidade geral do desempenho se situa dentro da média esperada para a faixa etária e o nível de escolaridade do avaliado, mas os pontos de inversão de traços e a variação de precisão merecem atenção em uma avaliação mais aprofundada, pois podem refletir nuances nas funções executivas, especialmente no planejamento e no controle inibitório.</w:t>
      </w:r>
    </w:p>
    <w:p>
      <w:pPr>
        <w:spacing w:after="160" w:line="360"/>
        <w:ind w:firstLine="720"/>
        <w:jc w:val="both"/>
      </w:pPr>
      <w:r>
        <w:rPr>
          <w:rFonts w:ascii="Arial" w:cs="Arial" w:eastAsia="Arial" w:hAnsi="Arial"/>
          <w:sz w:val="24"/>
          <w:szCs w:val="24"/>
        </w:rPr>
        <w:t xml:space="preserve">Em minha perspectiva, tais achados não sugerem comprometimento clínico, mas indicam que o planejamento visoespacial de J.B.L. pode se beneficiar de maior monitoramento na execução de tarefas complexas. Essa observação é particularmente relevante quando conjugada aos resultados do FTT, que mostram um perfil motor dentro da normalidade — o que reforça que as imprecisões na Figura de Rey provavelmente refletem aspectos atencionais e executivos, e não motores.</w:t>
      </w:r>
    </w:p>
    <w:p>
      <w:pPr>
        <w:pStyle w:val="Heading1"/>
        <w:spacing w:before="320" w:after="160"/>
      </w:pPr>
      <w:r>
        <w:rPr>
          <w:rFonts w:ascii="Arial" w:cs="Arial" w:eastAsia="Arial" w:hAnsi="Arial"/>
          <w:b/>
          <w:bCs/>
          <w:sz w:val="28"/>
          <w:szCs w:val="28"/>
        </w:rPr>
        <w:t xml:space="preserve">5. Considerações Finais</w:t>
      </w:r>
    </w:p>
    <w:p>
      <w:pPr>
        <w:spacing w:after="160" w:line="360"/>
        <w:ind w:firstLine="720"/>
        <w:jc w:val="both"/>
      </w:pPr>
      <w:r>
        <w:rPr>
          <w:rFonts w:ascii="Arial" w:cs="Arial" w:eastAsia="Arial" w:hAnsi="Arial"/>
          <w:sz w:val="24"/>
          <w:szCs w:val="24"/>
        </w:rPr>
        <w:t xml:space="preserve">A aplicação dos três instrumentos forneceu um panorama complementar e consistente do perfil neuropsicológico motor de J.B.L. O FTT confirmou integridade motora fina com assimetria interhemisférica esperada; o Inventário de Edimburgo classificou o avaliado como destro com lateralidade forte; e a Figura Complexa de Rey, mesmo sem análise quantitativa completa, sugeriu capacidade organizacional adequada com possíveis pontos de atenção no que se refere à precisão e ao controle executivo durante tarefas de longa duração.</w:t>
      </w:r>
    </w:p>
    <w:p>
      <w:pPr>
        <w:spacing w:after="160" w:line="360"/>
        <w:ind w:firstLine="720"/>
        <w:jc w:val="both"/>
      </w:pPr>
      <w:r>
        <w:rPr>
          <w:rFonts w:ascii="Arial" w:cs="Arial" w:eastAsia="Arial" w:hAnsi="Arial"/>
          <w:sz w:val="24"/>
          <w:szCs w:val="24"/>
        </w:rPr>
        <w:t xml:space="preserve">A prática permitiu não apenas a familiarização com os procedimentos de aplicação, mas também a compreensão da importância de integrar diferentes instrumentos para uma leitura mais completa do funcionamento neuropsicológico. A análise combinada dos testes evidencia que desempenho motor e funções cognitivas superiores — como atenção e planejamento — se articulam de maneira essencial na execução de tarefas cotidianas e clínicas.</w:t>
      </w:r>
    </w:p>
    <w:p>
      <w:pPr>
        <w:pStyle w:val="Heading1"/>
        <w:spacing w:before="320" w:after="160"/>
      </w:pPr>
      <w:r>
        <w:rPr>
          <w:rFonts w:ascii="Arial" w:cs="Arial" w:eastAsia="Arial" w:hAnsi="Arial"/>
          <w:b/>
          <w:bCs/>
          <w:sz w:val="28"/>
          <w:szCs w:val="28"/>
        </w:rPr>
        <w:t xml:space="preserve">Referências</w:t>
      </w:r>
    </w:p>
    <w:p>
      <w:pPr>
        <w:spacing w:after="120" w:line="360"/>
        <w:jc w:val="both"/>
      </w:pPr>
      <w:r>
        <w:rPr>
          <w:rFonts w:ascii="Arial" w:cs="Arial" w:eastAsia="Arial" w:hAnsi="Arial"/>
          <w:sz w:val="24"/>
          <w:szCs w:val="24"/>
        </w:rPr>
        <w:t xml:space="preserve">Oldfield, R. C. (1971). The assessment and analysis of handedness: The Edinburgh inventory. Neuropsychologia, 9(1), 97–113.</w:t>
      </w:r>
    </w:p>
    <w:p>
      <w:pPr>
        <w:spacing w:after="120" w:line="360"/>
        <w:jc w:val="both"/>
      </w:pPr>
      <w:r>
        <w:rPr>
          <w:rFonts w:ascii="Arial" w:cs="Arial" w:eastAsia="Arial" w:hAnsi="Arial"/>
          <w:sz w:val="24"/>
          <w:szCs w:val="24"/>
        </w:rPr>
        <w:t xml:space="preserve">Strauss, E., Sherman, E. M. S., &amp; Spreen, O. (2006). A Compendium of Neuropsychological Tests (3ª ed.). Oxford University Press.</w:t>
      </w:r>
    </w:p>
    <w:p>
      <w:pPr>
        <w:spacing w:after="120" w:line="360"/>
        <w:jc w:val="both"/>
      </w:pPr>
      <w:r>
        <w:rPr>
          <w:rFonts w:ascii="Arial" w:cs="Arial" w:eastAsia="Arial" w:hAnsi="Arial"/>
          <w:sz w:val="24"/>
          <w:szCs w:val="24"/>
        </w:rPr>
        <w:t xml:space="preserve">Osterrieth, P. A. (1944). Le test de copie d'une figure complexe. Archives de Psychologie, 30, 206–356.</w:t>
      </w:r>
    </w:p>
    <w:p>
      <w:pPr>
        <w:spacing w:after="120" w:line="360"/>
        <w:jc w:val="both"/>
      </w:pPr>
      <w:r>
        <w:rPr>
          <w:rFonts w:ascii="Arial" w:cs="Arial" w:eastAsia="Arial" w:hAnsi="Arial"/>
          <w:sz w:val="24"/>
          <w:szCs w:val="24"/>
        </w:rPr>
        <w:t xml:space="preserve">Malloy-Diniz, L. F. et al. (Orgs.). (2010). Neuropsicologia: Teoria e Prática. Artmed.</w:t>
      </w:r>
    </w:p>
    <w:sectPr>
      <w:pgSz w:w="11906" w:h="16838" w:orient="portrait"/>
      <w:pgMar w:top="1701" w:right="1134" w:bottom="1701"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2026-03-11T16:56:27.129Z</dcterms:created>
  <dcterms:modified xsi:type="dcterms:W3CDTF">2026-03-11T16:56:27.130Z</dcterms:modified>
</cp:coreProperties>
</file>

<file path=docProps/custom.xml><?xml version="1.0" encoding="utf-8"?>
<Properties xmlns="http://schemas.openxmlformats.org/officeDocument/2006/custom-properties" xmlns:vt="http://schemas.openxmlformats.org/officeDocument/2006/docPropsVTypes"/>
</file>