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color w:val="1F4E79"/>
          <w:sz w:val="48"/>
        </w:rPr>
        <w:t>Adviesrapport</w:t>
      </w:r>
    </w:p>
    <w:p>
      <w:pPr>
        <w:jc w:val="center"/>
      </w:pPr>
      <w:r>
        <w:rPr>
          <w:i/>
          <w:sz w:val="26"/>
        </w:rPr>
        <w:t>Versnelling van biobased en circulair bouwen in de Groene Metropoolregio Arnhem-Nijmegen</w:t>
      </w:r>
    </w:p>
    <w:p/>
    <w:p>
      <w:pPr>
        <w:jc w:val="center"/>
      </w:pPr>
      <w:r>
        <w:rPr>
          <w:sz w:val="20"/>
        </w:rPr>
        <w:t>Opgesteld door: Karam Rihmani en Berend Dirken</w:t>
        <w:br/>
        <w:t>Studenten gekoppeld aan de Groene Metropoolregio Arnhem-Nijmegen</w:t>
        <w:br/>
        <w:t>Minor Duurzaam Ondernemen &amp; Circulaire Economie</w:t>
        <w:br/>
        <w:t>Datum: juni 2026</w:t>
      </w:r>
    </w:p>
    <w:p>
      <w:r>
        <w:br w:type="page"/>
      </w:r>
    </w:p>
    <w:p>
      <w:pPr>
        <w:pStyle w:val="Heading1"/>
      </w:pPr>
      <w:r>
        <w:t>Managementsamenvatting</w:t>
      </w:r>
    </w:p>
    <w:p>
      <w:r>
        <w:t>De Groene Metropoolregio Arnhem-Nijmegen (GMR) staat voor een dubbele opgave: de regio moet de woningbouw versnellen en tegelijkertijd de milieu-impact van deze bouwopgave verlagen. Uit het onderzoek van Karam Rihmani en Berend Dirken blijkt dat de regio al beschikt over veel kennis, beleidsinstrumenten en praktijkvoorbeelden. Er zijn woningconcepten beschikbaar, marktpartijen experimenteren met biobased materialen en instrumenten zoals Het Nieuwe Normaal (HNN), de Nationale Aanpak Biobased Bouwen (NABB), materialenpaspoorten en carbon-creditmethodieken geven richting aan de transitie. Toch blijft de toepassing van biobased en circulaire bouwmaterialen achter bij de ambities.</w:t>
      </w:r>
    </w:p>
    <w:p>
      <w:r>
        <w:t>De centrale conclusie van dit adviesrapport is dat het probleem niet langer primair ligt bij gebrek aan kennis of techniek, maar bij onvoldoende implementatie van bestaand beleid. Beleidskaders zijn aanwezig, maar worden nog niet consequent vertaald naar aanbestedingen, gebiedsontwikkelingen, vergunningprocessen, inkoopafspraken en projectbesluiten. Daardoor blijft duurzaam bouwen te vaak afhankelijk van losse pilots, intrinsiek gemotiveerde koplopers of tijdelijke subsidies.</w:t>
      </w:r>
    </w:p>
    <w:p>
      <w:r>
        <w:t>Het advies aan GMR is om de volgende fase van de transitie te richten op verankering: maak HNN het standaardkader voor regionale woningbouwprojecten, werk met een regionale implementatieroadmap, gebruik woningcorporaties als launching customer, ontwikkel een praktische materialen- en kennisomgeving en organiseer een regionale coalitie van gemeenten, corporaties, bouwers, ontwikkelaars, agrariërs, onderwijs en leveranciers.</w:t>
      </w:r>
    </w:p>
    <w:p>
      <w:pPr>
        <w:pStyle w:val="Heading1"/>
      </w:pPr>
      <w:r>
        <w:t>1. Aanleiding en opdracht</w:t>
      </w:r>
    </w:p>
    <w:p>
      <w:r>
        <w:t>Dit adviesrapport is opgesteld door Karam Rihmani en Berend Dirken, studenten gekoppeld aan de Groene Metropoolregio Arnhem-Nijmegen. Het rapport bouwt voort op een dashboard, trendanalyse, beleidsanalyse, interviews en documentonderzoek. De oorspronkelijke projectvraag uit de GMR-whitepaper was hoe de toepassing van biobased bouwmaterialen in de woningbouw binnen de regio kan worden gestimuleerd en versneld.</w:t>
      </w:r>
    </w:p>
    <w:p>
      <w:r>
        <w:t>De bouwsector heeft een grote invloed op grondstoffengebruik, CO2-uitstoot en afvalstromen. Tegelijkertijd is de woningbouwopgave urgent. Binnen de regio Arnhem-Nijmegen betekent dit dat nieuwe woningen niet alleen snel en betaalbaar moeten worden gebouwd, maar ook moeten bijdragen aan circulaire en klimaatdoelstellingen. Biobased materialen, zoals hout, hennep, vlas, stro, cellulose en miscanthus, bieden daarvoor kansen doordat zij fossiele of minerale materialen kunnen vervangen en biogene koolstof langdurig kunnen opslaan in gebouwen.</w:t>
      </w:r>
    </w:p>
    <w:p>
      <w:r>
        <w:t>Het dashboard dat tijdens het project is ontwikkeld laat zien dat de transitie niet door één maatregel wordt bepaald. De versnelling vraagt om samenhang tussen beleid, markt, financiering, regelgeving, kennis, industrialisatie en regionale ketens. Dit adviesrapport brengt deze samenhang terug tot een uitvoerbare strategische lijn voor GMR.</w:t>
      </w:r>
    </w:p>
    <w:p>
      <w:pPr>
        <w:pStyle w:val="Heading1"/>
      </w:pPr>
      <w:r>
        <w:t>2. Onderzoeksbasis en gebruikte bronnen</w:t>
      </w:r>
    </w:p>
    <w:p>
      <w:r>
        <w:t>Het advies is gebaseerd op triangulatie van verschillende soorten bronnen. Er is gebruikgemaakt van eigen trendanalyse, interviews, beleidsdocumenten, HNN-documenten, woningconceptvergelijkingen, onderzoeken naar carbon credits en rapporten over regionale ketenontwikkeling. Daardoor is het advies niet alleen gebaseerd op literatuur, maar ook op praktijkervaring van gemeenten, corporaties en marktpartijen.</w:t>
      </w:r>
    </w:p>
    <w:p>
      <w:pPr>
        <w:pStyle w:val="ListBullet"/>
      </w:pPr>
      <w:r>
        <w:t>Whitepaper GMR / projectpaper: projectdefinitie biobased bouwen GMR, inclusief doel, scope en stakeholders.</w:t>
      </w:r>
    </w:p>
    <w:p>
      <w:pPr>
        <w:pStyle w:val="ListBullet"/>
      </w:pPr>
      <w:r>
        <w:t>GMR Trendanalyse - Biobased &amp; Circulaire Bouw, 9 juni 2026: dashboard met 10 trends en indicatoren.</w:t>
      </w:r>
    </w:p>
    <w:p>
      <w:pPr>
        <w:pStyle w:val="ListBullet"/>
      </w:pPr>
      <w:r>
        <w:t>Interviews 2026: BAM Wonen (Tom Stolker), Van Wijnen, Klokgroep, Talis, Gemeente Nijmegen en Provincie Gelderland.</w:t>
      </w:r>
    </w:p>
    <w:p>
      <w:pPr>
        <w:pStyle w:val="ListBullet"/>
      </w:pPr>
      <w:r>
        <w:t>Het Nieuwe Normaal: Leidraad Nieuwbouw 1.2, Onderbouwing HNN 1.0, Handreiking aanbesteden met HNN, Juridische toetsing HNN.</w:t>
      </w:r>
    </w:p>
    <w:p>
      <w:pPr>
        <w:pStyle w:val="ListBullet"/>
      </w:pPr>
      <w:r>
        <w:t>Nationale Aanpak Biobased Bouwen en GMR-onderzoeken over areaal, volume, beleid, hybride bouwen en MPG.</w:t>
      </w:r>
    </w:p>
    <w:p>
      <w:pPr>
        <w:pStyle w:val="ListBullet"/>
      </w:pPr>
      <w:r>
        <w:t>Woningconcepten en hun prestaties 2023/2024: vergelijking van prefab, biobased en circulaire woningconcepten.</w:t>
      </w:r>
    </w:p>
    <w:p>
      <w:pPr>
        <w:pStyle w:val="ListBullet"/>
      </w:pPr>
      <w:r>
        <w:t>ING Strategy Paper Biobased (land)bouw, Building Balance kennisdossier en WeGrow-notitie over ketenvorming.</w:t>
      </w:r>
    </w:p>
    <w:p>
      <w:pPr>
        <w:pStyle w:val="ListBullet"/>
      </w:pPr>
      <w:r>
        <w:t>Marktonderzoek Nederlandse carbon credits, Climate Cleanup Protocol en EU technical assessment over biogene koolstofopslag.</w:t>
      </w:r>
    </w:p>
    <w:p>
      <w:pPr>
        <w:pStyle w:val="ListBullet"/>
      </w:pPr>
      <w:r>
        <w:t>SER-advies Werken aan veranderkracht en overige documenten over arbeidsmarkt, regelgeving en standaardisatie.</w:t>
      </w:r>
    </w:p>
    <w:p>
      <w:r>
        <w:t>De belangrijkste empirische basis bestaat uit interviews met BAM Wonen, Van Wijnen, Klokgroep, Talis, Gemeente Nijmegen en Provincie Gelderland. Deze interviews geven inzicht in de uitvoeringspraktijk: wat lukt al, waar lopen partijen vast en welke randvoorwaarden zijn nodig om de stap van pilot naar standaard te zetten.</w:t>
      </w:r>
    </w:p>
    <w:p>
      <w:pPr>
        <w:pStyle w:val="Heading1"/>
      </w:pPr>
      <w:r>
        <w:t>3. Kernbevindingen uit het onderzoek</w:t>
      </w:r>
    </w:p>
    <w:p>
      <w:pPr>
        <w:pStyle w:val="Heading2"/>
      </w:pPr>
      <w:r>
        <w:t>3.1 De kennisfase is grotendeels voorbij</w:t>
      </w:r>
    </w:p>
    <w:p>
      <w:r>
        <w:t>Uit de documentanalyse en interviews blijkt dat de basiskennis over biobased bouwen sterk is gegroeid. Partijen kennen inmiddels begrippen zoals MPG, MKI, HNN, CO2-opslag, losmaakbaarheid en materiaalpaspoorten. Ook bestaan er meerdere woningconcepten die laten zien dat prefab, houtbouw, hybride bouw en circulaire ontwerpprincipes technisch haalbaar zijn. De brochure Woningconcepten en hun prestaties laat bijvoorbeeld zien dat aanbieders al kunnen rapporteren op MPG, materiaalgebonden CO2-uitstoot, CO2-opslag, materiaalgebruik en losmaakbaarheid.</w:t>
      </w:r>
    </w:p>
    <w:p>
      <w:r>
        <w:t>Daarmee is het vraagstuk verschoven. De hoofdvraag is niet meer of biobased bouwen kan, maar waarom het nog niet standaard gebeurt. Dit is een belangrijk onderscheid voor het advies: GMR hoeft niet primair nieuw beleid of nieuwe kennis te ontwikkelen, maar bestaande kennis veel beter te organiseren en toe te passen.</w:t>
      </w:r>
    </w:p>
    <w:p>
      <w:pPr>
        <w:pStyle w:val="Heading2"/>
      </w:pPr>
      <w:r>
        <w:t>3.2 Implementatie blijft achter bij beleid</w:t>
      </w:r>
    </w:p>
    <w:p>
      <w:r>
        <w:t>Het Nieuwe Normaal biedt een duidelijke taal voor circulair bouwen. De NABB geeft richting aan opschaling van vezelteelt en biobased bouwketens. Daarnaast bestaan er handreikingen voor aanbesteding, kostenperspectieven en juridische toepassing. Toch worden deze instrumenten in projecten nog niet consequent gebruikt. In de praktijk blijven investeringskosten, planning en risicovermijding vaak zwaarder wegen dan circulariteit en CO2-reductie.</w:t>
      </w:r>
    </w:p>
    <w:p>
      <w:r>
        <w:t>Dit leidt tot een kloof tussen ambitie en uitvoering. Overheden en marktpartijen onderschrijven de doelstellingen van circulair en biobased bouwen, maar vertalen deze nog onvoldoende naar harde projectcriteria. Daardoor ontstaat geen stabiele vraag in de markt. Producenten, agrariërs en verwerkers investeren pas wanneer zij zekerheid hebben over afname; bouwers en ontwikkelaars wachten op prijsdalingen en heldere regels. Deze wederzijdse afwachtende houding vertraagt opschaling.</w:t>
      </w:r>
    </w:p>
    <w:p>
      <w:pPr>
        <w:pStyle w:val="Heading2"/>
      </w:pPr>
      <w:r>
        <w:t>3.3 Kosten vormen een drempel, maar niet de hele verklaring</w:t>
      </w:r>
    </w:p>
    <w:p>
      <w:r>
        <w:t>De trendanalyse laat zien dat biobased materialen gemiddeld duurder kunnen zijn dan conventionele alternatieven en dat de meerkosten bij specifieke isolatietoepassingen hoger kunnen oplopen. Ook uit de interviews komt naar voren dat directe bouwkosten doorslaggevend zijn voor ontwikkelaars en corporaties. Toch is kosten niet de enige verklaring. HNN-documenten en woningconceptanalyses laten zien dat levensduurkosten, restwaarde, demontabiliteit en CO2-opslag het beeld kunnen veranderen wanneer breder wordt gekeken dan alleen initiële investering.</w:t>
      </w:r>
    </w:p>
    <w:p>
      <w:r>
        <w:t>Het probleem is dat deze bredere waarde nog niet altijd wordt meegenomen in aanbestedingen of projectbesluiten. Zolang biobased bouwen alleen wordt beoordeeld op aanschafprijs, blijft het kwetsbaar. Zodra CO2-opslag, losmaakbaarheid, restwaarde en maatschappelijke kosten worden meegewogen, ontstaat een realistischer beeld van de waarde.</w:t>
      </w:r>
    </w:p>
    <w:p>
      <w:pPr>
        <w:pStyle w:val="Heading2"/>
      </w:pPr>
      <w:r>
        <w:t>3.4 Regelgeving en vergunningen werken nog niet eenduidig</w:t>
      </w:r>
    </w:p>
    <w:p>
      <w:r>
        <w:t>Een opvallende bevinding is dat regelgeving in de praktijk vaak als rem wordt ervaren. Vooral brandveiligheid, interpretatieverschillen tussen gemeenten, vergunningprocedures en onzekerheid rond MPG en EU-productregelgeving zorgen voor vertraging. Marktpartijen geven aan dat biobased oplossingen soms technisch mogelijk zijn, maar dat onzekerheid in toetsing en toelating de toepassing vertraagt.</w:t>
      </w:r>
    </w:p>
    <w:p>
      <w:r>
        <w:t>Dit betekent dat GMR niet alleen moet sturen op ambities, maar ook op uitvoerbaarheid. Regionale afstemming over toetsing, vergunningen en standaardcriteria kan veel onzekerheid wegnemen. Een regionaal kader dat duidelijk maakt welke materialen, toepassingen en prestatiebewijzen acceptabel zijn, zou marktpartijen helpen sneller te handelen.</w:t>
      </w:r>
    </w:p>
    <w:p>
      <w:pPr>
        <w:pStyle w:val="Heading2"/>
      </w:pPr>
      <w:r>
        <w:t>3.5 Woningcorporaties zijn cruciaal voor opschaling</w:t>
      </w:r>
    </w:p>
    <w:p>
      <w:r>
        <w:t>Woningcorporaties hebben een bijzondere positie. Zij bouwen en beheren woningen voor de lange termijn en hebben een maatschappelijke opdracht. Daardoor kunnen zij niet alleen sturen op initiële bouwkosten, maar ook op onderhoud, levensduur, woonkwaliteit en maatschappelijke waarde. Tegelijkertijd zijn corporaties financieel begrensd door betaalbaarheid en regelgeving. Uit het interview met Talis blijkt dat budgetdruk een belangrijke reden is waarom vaak wordt aangesloten bij minimumeisen.</w:t>
      </w:r>
    </w:p>
    <w:p>
      <w:r>
        <w:t>Juist daarom is een gezamenlijke aanpak nodig. Als corporaties binnen de regio gezamenlijk optrekken, ontstaat schaal in de vraag. Dit kan leveranciers en bouwers zekerheid geven en prijsdalingen versnellen. GMR kan hierin een faciliterende rol spelen door corporaties te verbinden, pilots te bundelen en kennisuitwisseling te organiseren.</w:t>
      </w:r>
    </w:p>
    <w:p>
      <w:pPr>
        <w:pStyle w:val="Heading1"/>
      </w:pPr>
      <w:r>
        <w:t>4. Trendanalyse: wat verandert er richting 2030?</w:t>
      </w:r>
    </w:p>
    <w:p>
      <w:r>
        <w:t>De uitgevoerde trendanalyse onderscheidt tien trends. Voor dit adviesrapport zijn vooral vijf overkoepelende bewegingen belangrijk.</w:t>
      </w:r>
    </w:p>
    <w:tbl>
      <w:tblPr>
        <w:tblW w:type="auto" w:w="0"/>
        <w:jc w:val="center"/>
        <w:tblLook w:firstColumn="1" w:firstRow="1" w:lastColumn="0" w:lastRow="0" w:noHBand="0" w:noVBand="1" w:val="04A0"/>
      </w:tblPr>
      <w:tblGrid>
        <w:gridCol w:w="3360"/>
        <w:gridCol w:w="3360"/>
        <w:gridCol w:w="3360"/>
      </w:tblGrid>
      <w:tr>
        <w:tc>
          <w:tcPr>
            <w:tcW w:type="dxa" w:w="3360"/>
            <w:shd w:fill="D9EAF7"/>
          </w:tcPr>
          <w:p>
            <w:r/>
            <w:r>
              <w:rPr>
                <w:b/>
                <w:sz w:val="18"/>
              </w:rPr>
              <w:t>Trend</w:t>
            </w:r>
          </w:p>
        </w:tc>
        <w:tc>
          <w:tcPr>
            <w:tcW w:type="dxa" w:w="3360"/>
            <w:shd w:fill="D9EAF7"/>
          </w:tcPr>
          <w:p>
            <w:r/>
            <w:r>
              <w:rPr>
                <w:b/>
                <w:sz w:val="18"/>
              </w:rPr>
              <w:t>Betekenis</w:t>
            </w:r>
          </w:p>
        </w:tc>
        <w:tc>
          <w:tcPr>
            <w:tcW w:type="dxa" w:w="3360"/>
            <w:shd w:fill="D9EAF7"/>
          </w:tcPr>
          <w:p>
            <w:r/>
            <w:r>
              <w:rPr>
                <w:b/>
                <w:sz w:val="18"/>
              </w:rPr>
              <w:t>Implicatie voor GMR</w:t>
            </w:r>
          </w:p>
        </w:tc>
      </w:tr>
      <w:tr>
        <w:tc>
          <w:tcPr>
            <w:tcW w:type="dxa" w:w="3360"/>
          </w:tcPr>
          <w:p>
            <w:r/>
            <w:r>
              <w:rPr>
                <w:b w:val="0"/>
                <w:sz w:val="18"/>
              </w:rPr>
              <w:t>HNN als beleidskader</w:t>
            </w:r>
          </w:p>
        </w:tc>
        <w:tc>
          <w:tcPr>
            <w:tcW w:type="dxa" w:w="3360"/>
          </w:tcPr>
          <w:p>
            <w:r/>
            <w:r>
              <w:rPr>
                <w:b w:val="0"/>
                <w:sz w:val="18"/>
              </w:rPr>
              <w:t>HNN ontwikkelt zich tot gemeenschappelijke taal voor circulair bouwen.</w:t>
            </w:r>
          </w:p>
        </w:tc>
        <w:tc>
          <w:tcPr>
            <w:tcW w:type="dxa" w:w="3360"/>
          </w:tcPr>
          <w:p>
            <w:r/>
            <w:r>
              <w:rPr>
                <w:b w:val="0"/>
                <w:sz w:val="18"/>
              </w:rPr>
              <w:t>Niet alleen noemen, maar opnemen in projectuitvragen en monitoring.</w:t>
            </w:r>
          </w:p>
        </w:tc>
      </w:tr>
      <w:tr>
        <w:tc>
          <w:tcPr>
            <w:tcW w:type="dxa" w:w="3360"/>
          </w:tcPr>
          <w:p>
            <w:r/>
            <w:r>
              <w:rPr>
                <w:b w:val="0"/>
                <w:sz w:val="18"/>
              </w:rPr>
              <w:t>Industrialisatie en prefab</w:t>
            </w:r>
          </w:p>
        </w:tc>
        <w:tc>
          <w:tcPr>
            <w:tcW w:type="dxa" w:w="3360"/>
          </w:tcPr>
          <w:p>
            <w:r/>
            <w:r>
              <w:rPr>
                <w:b w:val="0"/>
                <w:sz w:val="18"/>
              </w:rPr>
              <w:t>Prefab maakt biobased bouwen sneller, constanter en schaalbaarder.</w:t>
            </w:r>
          </w:p>
        </w:tc>
        <w:tc>
          <w:tcPr>
            <w:tcW w:type="dxa" w:w="3360"/>
          </w:tcPr>
          <w:p>
            <w:r/>
            <w:r>
              <w:rPr>
                <w:b w:val="0"/>
                <w:sz w:val="18"/>
              </w:rPr>
              <w:t>Koppel biobased ambities aan woningconcepten en seriebouw.</w:t>
            </w:r>
          </w:p>
        </w:tc>
      </w:tr>
      <w:tr>
        <w:tc>
          <w:tcPr>
            <w:tcW w:type="dxa" w:w="3360"/>
          </w:tcPr>
          <w:p>
            <w:r/>
            <w:r>
              <w:rPr>
                <w:b w:val="0"/>
                <w:sz w:val="18"/>
              </w:rPr>
              <w:t>Carbon credits en CO2-opslag</w:t>
            </w:r>
          </w:p>
        </w:tc>
        <w:tc>
          <w:tcPr>
            <w:tcW w:type="dxa" w:w="3360"/>
          </w:tcPr>
          <w:p>
            <w:r/>
            <w:r>
              <w:rPr>
                <w:b w:val="0"/>
                <w:sz w:val="18"/>
              </w:rPr>
              <w:t>CO2-opslag kan financiële waarde krijgen via certificaten of labels.</w:t>
            </w:r>
          </w:p>
        </w:tc>
        <w:tc>
          <w:tcPr>
            <w:tcW w:type="dxa" w:w="3360"/>
          </w:tcPr>
          <w:p>
            <w:r/>
            <w:r>
              <w:rPr>
                <w:b w:val="0"/>
                <w:sz w:val="18"/>
              </w:rPr>
              <w:t>Start klein met pilots, maar bouw alvast databasis en rekenmethodiek op.</w:t>
            </w:r>
          </w:p>
        </w:tc>
      </w:tr>
      <w:tr>
        <w:tc>
          <w:tcPr>
            <w:tcW w:type="dxa" w:w="3360"/>
          </w:tcPr>
          <w:p>
            <w:r/>
            <w:r>
              <w:rPr>
                <w:b w:val="0"/>
                <w:sz w:val="18"/>
              </w:rPr>
              <w:t>Regionale ketens</w:t>
            </w:r>
          </w:p>
        </w:tc>
        <w:tc>
          <w:tcPr>
            <w:tcW w:type="dxa" w:w="3360"/>
          </w:tcPr>
          <w:p>
            <w:r/>
            <w:r>
              <w:rPr>
                <w:b w:val="0"/>
                <w:sz w:val="18"/>
              </w:rPr>
              <w:t>Vezelteelt, verwerking en bouwvraag zijn nog onvoldoende verbonden.</w:t>
            </w:r>
          </w:p>
        </w:tc>
        <w:tc>
          <w:tcPr>
            <w:tcW w:type="dxa" w:w="3360"/>
          </w:tcPr>
          <w:p>
            <w:r/>
            <w:r>
              <w:rPr>
                <w:b w:val="0"/>
                <w:sz w:val="18"/>
              </w:rPr>
              <w:t>Organiseer ketenafspraken tussen landbouw, producenten en bouwers.</w:t>
            </w:r>
          </w:p>
        </w:tc>
      </w:tr>
      <w:tr>
        <w:tc>
          <w:tcPr>
            <w:tcW w:type="dxa" w:w="3360"/>
          </w:tcPr>
          <w:p>
            <w:r/>
            <w:r>
              <w:rPr>
                <w:b w:val="0"/>
                <w:sz w:val="18"/>
              </w:rPr>
              <w:t>Van vrijwillig naar verplicht</w:t>
            </w:r>
          </w:p>
        </w:tc>
        <w:tc>
          <w:tcPr>
            <w:tcW w:type="dxa" w:w="3360"/>
          </w:tcPr>
          <w:p>
            <w:r/>
            <w:r>
              <w:rPr>
                <w:b w:val="0"/>
                <w:sz w:val="18"/>
              </w:rPr>
              <w:t>Duurzaamheid verschuift van ambitie naar normering.</w:t>
            </w:r>
          </w:p>
        </w:tc>
        <w:tc>
          <w:tcPr>
            <w:tcW w:type="dxa" w:w="3360"/>
          </w:tcPr>
          <w:p>
            <w:r/>
            <w:r>
              <w:rPr>
                <w:b w:val="0"/>
                <w:sz w:val="18"/>
              </w:rPr>
              <w:t>Bereid gemeenten en markt voor op strengere eisen en maak voorlopers sterker.</w:t>
            </w:r>
          </w:p>
        </w:tc>
      </w:tr>
    </w:tbl>
    <w:p>
      <w:r>
        <w:t>De belangrijkste strategische ontwikkeling is de beweging van vrijwilligheid naar normalisering. HNN, materialenpaspoorten, CO2-sturing en circulaire aanbesteding zijn nu vaak nog vrijwillig, maar ontwikkelen zich richting standaardpraktijk. Partijen die nu investeren in kennis, data en processen bouwen een voorsprong op.</w:t>
      </w:r>
    </w:p>
    <w:p>
      <w:pPr>
        <w:pStyle w:val="Heading1"/>
      </w:pPr>
      <w:r>
        <w:t>5. Probleemanalyse</w:t>
      </w:r>
    </w:p>
    <w:p>
      <w:r>
        <w:t>De kern van het probleem is niet dat er geen beleid bestaat, maar dat het beleid onvoldoende landt in de dagelijkse praktijk van woningbouwprojecten. De huidige situatie kan worden samengevat in vier knelpunten.</w:t>
      </w:r>
    </w:p>
    <w:p>
      <w:pPr>
        <w:pStyle w:val="Heading2"/>
      </w:pPr>
      <w:r>
        <w:t>5.1 Vrijblijvendheid</w:t>
      </w:r>
    </w:p>
    <w:p>
      <w:r>
        <w:t>Veel duurzaamheidsinstrumenten worden gepresenteerd als handreiking of ambitie. Daardoor kunnen partijen er wel naar verwijzen, maar ontstaat geen verplichting om prestaties daadwerkelijk te halen. Zolang circulair bouwen een pluspunt blijft in plaats van een randvoorwaarde, zal prijsdruk vaak winnen.</w:t>
      </w:r>
    </w:p>
    <w:p>
      <w:pPr>
        <w:pStyle w:val="Heading2"/>
      </w:pPr>
      <w:r>
        <w:t>5.2 Versnippering</w:t>
      </w:r>
    </w:p>
    <w:p>
      <w:r>
        <w:t>Kennis is verspreid over rapporten, websites, dashboards, adviseurs en marktpartijen. Dit maakt het voor projectleiders lastig om snel te bepalen welke biobased materialen geschikt zijn, welke leveranciers bestaan, welke prestaties bewezen zijn en hoe deze moeten worden uitgevraagd.</w:t>
      </w:r>
    </w:p>
    <w:p>
      <w:pPr>
        <w:pStyle w:val="Heading2"/>
      </w:pPr>
      <w:r>
        <w:t>5.3 Onzekerheid in de businesscase</w:t>
      </w:r>
    </w:p>
    <w:p>
      <w:r>
        <w:t>De voordelen van biobased bouwen worden nog onvoldoende financieel gewaardeerd. CO2-opslag, restwaarde en demontabiliteit zijn belangrijk, maar verschijnen niet altijd in de businesscase. Hierdoor ontstaat het beeld dat biobased vooral duurder is, terwijl de langetermijnwaarde onvoldoende zichtbaar wordt.</w:t>
      </w:r>
    </w:p>
    <w:p>
      <w:pPr>
        <w:pStyle w:val="Heading2"/>
      </w:pPr>
      <w:r>
        <w:t>5.4 Gebrek aan regionale uitvoeringsafspraken</w:t>
      </w:r>
    </w:p>
    <w:p>
      <w:r>
        <w:t>Gemeenten kunnen verschillende interpretaties hanteren, ontwikkelaars ervaren verschillende eisen per project en leveranciers krijgen geen stabiele vraag. Een regionale aanpak kan zorgen voor voorspelbaarheid. Dat is nodig om de markt te laten investeren.</w:t>
      </w:r>
    </w:p>
    <w:p>
      <w:pPr>
        <w:pStyle w:val="Heading1"/>
      </w:pPr>
      <w:r>
        <w:t>6. Strategisch advies</w:t>
      </w:r>
    </w:p>
    <w:p>
      <w:r>
        <w:t>Karam Rihmani en Berend Dirken adviseren GMR om de komende jaren niet te kiezen voor nog meer losse onderzoeken, maar voor een praktische implementatieagenda. Hieronder staan de zes hoofdadviezen.</w:t>
      </w:r>
    </w:p>
    <w:p>
      <w:pPr>
        <w:pStyle w:val="Heading2"/>
      </w:pPr>
      <w:r>
        <w:t>Advies 1: Maak HNN het regionale basisniveau</w:t>
      </w:r>
    </w:p>
    <w:p>
      <w:r>
        <w:t>Gebruik Het Nieuwe Normaal als standaardtaal voor alle relevante woningbouwprojecten. Dit betekent dat HNN niet alleen als inspiratiebron wordt genoemd, maar dat de indicatoren worden opgenomen in uitvragen, beoordelingscriteria en monitoring.</w:t>
      </w:r>
    </w:p>
    <w:p>
      <w:pPr>
        <w:pStyle w:val="Heading2"/>
      </w:pPr>
      <w:r>
        <w:t>Advies 2: Vertaal beleid naar aanbesteding en gebiedsontwikkeling</w:t>
      </w:r>
    </w:p>
    <w:p>
      <w:r>
        <w:t>Zorg dat circulaire en biobased ambities vroeg in het proces worden vastgelegd. Wanneer dit pas laat in het project gebeurt, zijn ontwerp, budget en planning vaak al bepaald.</w:t>
      </w:r>
    </w:p>
    <w:p>
      <w:pPr>
        <w:pStyle w:val="Heading2"/>
      </w:pPr>
      <w:r>
        <w:t>Advies 3: Ontwikkel een regionale materialen- en kennisatlas</w:t>
      </w:r>
    </w:p>
    <w:p>
      <w:r>
        <w:t>Bundel informatie over materialen, leveranciers, toepassingen, prestaties, CO2-opslag, brandveiligheid en voorbeeldprojecten in één praktische omgeving. Het bestaande dashboard kan hiervoor de basis vormen.</w:t>
      </w:r>
    </w:p>
    <w:p>
      <w:pPr>
        <w:pStyle w:val="Heading2"/>
      </w:pPr>
      <w:r>
        <w:t>Advies 4: Vorm een GMR-biobased coalitie</w:t>
      </w:r>
    </w:p>
    <w:p>
      <w:r>
        <w:t>Breng gemeenten, corporaties, bouwbedrijven, ontwikkelaars, agrariërs, verwerkers, onderwijs en financiers samen. De transitie vraagt ketensamenwerking; geen enkele partij kan dit zelfstandig oplossen.</w:t>
      </w:r>
    </w:p>
    <w:p>
      <w:pPr>
        <w:pStyle w:val="Heading2"/>
      </w:pPr>
      <w:r>
        <w:t>Advies 5: Gebruik corporaties als launching customer</w:t>
      </w:r>
    </w:p>
    <w:p>
      <w:r>
        <w:t>Start met een corporatiecoalitie die gezamenlijk biobased pilots en inkoopafspraken ontwikkelt. Corporaties hebben schaal, maatschappelijke legitimiteit en langetermijnbelang.</w:t>
      </w:r>
    </w:p>
    <w:p>
      <w:pPr>
        <w:pStyle w:val="Heading2"/>
      </w:pPr>
      <w:r>
        <w:t>Advies 6: Koppel bouwen aan leren</w:t>
      </w:r>
    </w:p>
    <w:p>
      <w:r>
        <w:t>Investeer in vakmanschap, MBO/HBO-onderwijs, praktijktrainingen en kennisdeling over dampopen bouwen, houtbouw, droge verbindingen en circulaire detaillering.</w:t>
      </w:r>
    </w:p>
    <w:p>
      <w:pPr>
        <w:pStyle w:val="Heading1"/>
      </w:pPr>
      <w:r>
        <w:t>7. Implementatieroadmap 2026-2030</w:t>
      </w:r>
    </w:p>
    <w:tbl>
      <w:tblPr>
        <w:tblW w:type="auto" w:w="0"/>
        <w:tblLook w:firstColumn="1" w:firstRow="1" w:lastColumn="0" w:lastRow="0" w:noHBand="0" w:noVBand="1" w:val="04A0"/>
      </w:tblPr>
      <w:tblGrid>
        <w:gridCol w:w="3360"/>
        <w:gridCol w:w="3360"/>
        <w:gridCol w:w="3360"/>
      </w:tblGrid>
      <w:tr>
        <w:tc>
          <w:tcPr>
            <w:tcW w:type="dxa" w:w="3360"/>
            <w:shd w:fill="D9EAF7"/>
          </w:tcPr>
          <w:p>
            <w:r/>
            <w:r>
              <w:rPr>
                <w:b/>
                <w:sz w:val="18"/>
              </w:rPr>
              <w:t>Jaar</w:t>
            </w:r>
          </w:p>
        </w:tc>
        <w:tc>
          <w:tcPr>
            <w:tcW w:type="dxa" w:w="3360"/>
            <w:shd w:fill="D9EAF7"/>
          </w:tcPr>
          <w:p>
            <w:r/>
            <w:r>
              <w:rPr>
                <w:b/>
                <w:sz w:val="18"/>
              </w:rPr>
              <w:t>Doel</w:t>
            </w:r>
          </w:p>
        </w:tc>
        <w:tc>
          <w:tcPr>
            <w:tcW w:type="dxa" w:w="3360"/>
            <w:shd w:fill="D9EAF7"/>
          </w:tcPr>
          <w:p>
            <w:r/>
            <w:r>
              <w:rPr>
                <w:b/>
                <w:sz w:val="18"/>
              </w:rPr>
              <w:t>Concrete acties</w:t>
            </w:r>
          </w:p>
        </w:tc>
      </w:tr>
      <w:tr>
        <w:tc>
          <w:tcPr>
            <w:tcW w:type="dxa" w:w="3360"/>
          </w:tcPr>
          <w:p>
            <w:r/>
            <w:r>
              <w:rPr>
                <w:b w:val="0"/>
                <w:sz w:val="18"/>
              </w:rPr>
              <w:t>2026</w:t>
            </w:r>
          </w:p>
        </w:tc>
        <w:tc>
          <w:tcPr>
            <w:tcW w:type="dxa" w:w="3360"/>
          </w:tcPr>
          <w:p>
            <w:r/>
            <w:r>
              <w:rPr>
                <w:b w:val="0"/>
                <w:sz w:val="18"/>
              </w:rPr>
              <w:t>Van analyse naar afspraken</w:t>
            </w:r>
          </w:p>
        </w:tc>
        <w:tc>
          <w:tcPr>
            <w:tcW w:type="dxa" w:w="3360"/>
          </w:tcPr>
          <w:p>
            <w:r/>
            <w:r>
              <w:rPr>
                <w:b w:val="0"/>
                <w:sz w:val="18"/>
              </w:rPr>
              <w:t>Bestuurlijk besluit over HNN als uitgangspunt; start materialenatlas; selectie corporatiepilots; dashboard uitbreiden met top 10 inzichten en prioriteitenmatrix.</w:t>
            </w:r>
          </w:p>
        </w:tc>
      </w:tr>
      <w:tr>
        <w:tc>
          <w:tcPr>
            <w:tcW w:type="dxa" w:w="3360"/>
          </w:tcPr>
          <w:p>
            <w:r/>
            <w:r>
              <w:rPr>
                <w:b w:val="0"/>
                <w:sz w:val="18"/>
              </w:rPr>
              <w:t>2027</w:t>
            </w:r>
          </w:p>
        </w:tc>
        <w:tc>
          <w:tcPr>
            <w:tcW w:type="dxa" w:w="3360"/>
          </w:tcPr>
          <w:p>
            <w:r/>
            <w:r>
              <w:rPr>
                <w:b w:val="0"/>
                <w:sz w:val="18"/>
              </w:rPr>
              <w:t>Verankering in projecten</w:t>
            </w:r>
          </w:p>
        </w:tc>
        <w:tc>
          <w:tcPr>
            <w:tcW w:type="dxa" w:w="3360"/>
          </w:tcPr>
          <w:p>
            <w:r/>
            <w:r>
              <w:rPr>
                <w:b w:val="0"/>
                <w:sz w:val="18"/>
              </w:rPr>
              <w:t>HNN opnemen in aanbestedingen; regionale modelteksten ontwikkelen; eerste CO2- en materiaalpaspoorten toepassen; kennisdagen met gemeenten en markt.</w:t>
            </w:r>
          </w:p>
        </w:tc>
      </w:tr>
      <w:tr>
        <w:tc>
          <w:tcPr>
            <w:tcW w:type="dxa" w:w="3360"/>
          </w:tcPr>
          <w:p>
            <w:r/>
            <w:r>
              <w:rPr>
                <w:b w:val="0"/>
                <w:sz w:val="18"/>
              </w:rPr>
              <w:t>2028</w:t>
            </w:r>
          </w:p>
        </w:tc>
        <w:tc>
          <w:tcPr>
            <w:tcW w:type="dxa" w:w="3360"/>
          </w:tcPr>
          <w:p>
            <w:r/>
            <w:r>
              <w:rPr>
                <w:b w:val="0"/>
                <w:sz w:val="18"/>
              </w:rPr>
              <w:t>Opschaling van ketens</w:t>
            </w:r>
          </w:p>
        </w:tc>
        <w:tc>
          <w:tcPr>
            <w:tcW w:type="dxa" w:w="3360"/>
          </w:tcPr>
          <w:p>
            <w:r/>
            <w:r>
              <w:rPr>
                <w:b w:val="0"/>
                <w:sz w:val="18"/>
              </w:rPr>
              <w:t>Regionale inkoopcoalitie opzetten; afspraken met agrariërs en verwerkers; standaardisatie van biobased toepassingen per woningtype.</w:t>
            </w:r>
          </w:p>
        </w:tc>
      </w:tr>
      <w:tr>
        <w:tc>
          <w:tcPr>
            <w:tcW w:type="dxa" w:w="3360"/>
          </w:tcPr>
          <w:p>
            <w:r/>
            <w:r>
              <w:rPr>
                <w:b w:val="0"/>
                <w:sz w:val="18"/>
              </w:rPr>
              <w:t>2029</w:t>
            </w:r>
          </w:p>
        </w:tc>
        <w:tc>
          <w:tcPr>
            <w:tcW w:type="dxa" w:w="3360"/>
          </w:tcPr>
          <w:p>
            <w:r/>
            <w:r>
              <w:rPr>
                <w:b w:val="0"/>
                <w:sz w:val="18"/>
              </w:rPr>
              <w:t>Financiële instrumenten</w:t>
            </w:r>
          </w:p>
        </w:tc>
        <w:tc>
          <w:tcPr>
            <w:tcW w:type="dxa" w:w="3360"/>
          </w:tcPr>
          <w:p>
            <w:r/>
            <w:r>
              <w:rPr>
                <w:b w:val="0"/>
                <w:sz w:val="18"/>
              </w:rPr>
              <w:t>Pilot met carbon credits of CO2-labels; koppeling met financiering; structurele monitoring van CO2-opslag en materiaalgebruik.</w:t>
            </w:r>
          </w:p>
        </w:tc>
      </w:tr>
      <w:tr>
        <w:tc>
          <w:tcPr>
            <w:tcW w:type="dxa" w:w="3360"/>
          </w:tcPr>
          <w:p>
            <w:r/>
            <w:r>
              <w:rPr>
                <w:b w:val="0"/>
                <w:sz w:val="18"/>
              </w:rPr>
              <w:t>2030</w:t>
            </w:r>
          </w:p>
        </w:tc>
        <w:tc>
          <w:tcPr>
            <w:tcW w:type="dxa" w:w="3360"/>
          </w:tcPr>
          <w:p>
            <w:r/>
            <w:r>
              <w:rPr>
                <w:b w:val="0"/>
                <w:sz w:val="18"/>
              </w:rPr>
              <w:t>Normalisering</w:t>
            </w:r>
          </w:p>
        </w:tc>
        <w:tc>
          <w:tcPr>
            <w:tcW w:type="dxa" w:w="3360"/>
          </w:tcPr>
          <w:p>
            <w:r/>
            <w:r>
              <w:rPr>
                <w:b w:val="0"/>
                <w:sz w:val="18"/>
              </w:rPr>
              <w:t>Biobased en circulair bouwen als standaardoptie in regionale woningbouw; GMR positioneren als landelijke voorbeeldregio.</w:t>
            </w:r>
          </w:p>
        </w:tc>
      </w:tr>
    </w:tbl>
    <w:p>
      <w:pPr>
        <w:pStyle w:val="Heading1"/>
      </w:pPr>
      <w:r>
        <w:t>8. Aanbevelingen voor het dashboard</w:t>
      </w:r>
    </w:p>
    <w:p>
      <w:r>
        <w:t>Het dashboard is al sterk omdat het trends, bronnen en cijfers visueel samenbrengt. Voor de presentatie aan de opdrachtgever adviseren wij drie aanvullingen die het advies uitvoerbaarder maken.</w:t>
      </w:r>
    </w:p>
    <w:p>
      <w:pPr>
        <w:pStyle w:val="ListNumber"/>
      </w:pPr>
      <w:r>
        <w:t>Een tab 'Top 10 inzichten' met korte conclusies en handelingsperspectief per inzicht.</w:t>
      </w:r>
    </w:p>
    <w:p>
      <w:pPr>
        <w:pStyle w:val="ListNumber"/>
      </w:pPr>
      <w:r>
        <w:t>Een prioriteitenmatrix met impact, uitvoerbaarheid en urgentie per maatregel.</w:t>
      </w:r>
    </w:p>
    <w:p>
      <w:pPr>
        <w:pStyle w:val="ListNumber"/>
      </w:pPr>
      <w:r>
        <w:t>Een implementatieroadmap 2026-2030 waarin zichtbaar wordt wat GMR per jaar kan doen.</w:t>
      </w:r>
    </w:p>
    <w:p>
      <w:r>
        <w:t>Deze aanvullingen voorkomen dat het dashboard alleen informatief is. Het wordt dan ook een beslisinstrument voor GMR.</w:t>
      </w:r>
    </w:p>
    <w:p>
      <w:pPr>
        <w:pStyle w:val="Heading1"/>
      </w:pPr>
      <w:r>
        <w:t>9. Conclusie</w:t>
      </w:r>
    </w:p>
    <w:p>
      <w:r>
        <w:t>De Groene Metropoolregio Arnhem-Nijmegen heeft een sterke uitgangspositie om koploper te worden in biobased en circulair bouwen. De regio beschikt over relevante beleidsambities, een urgente woningbouwopgave, betrokken gemeenten, corporaties, kennisinstellingen en marktpartijen. Ook de beschikbare bronnen laten zien dat technieken, woningconcepten en beleidsinstrumenten al bestaan.</w:t>
      </w:r>
    </w:p>
    <w:p>
      <w:r>
        <w:t>De belangrijkste barrière is daarom niet het ontbreken van beleid, maar het ontbreken van consequente implementatie. Zolang HNN, biobased criteria, materialenpaspoorten en CO2-sturing vrijwillig blijven, blijft opschaling afhankelijk van koplopers en pilots. De volgende stap is normalisering: van ambitie naar eis, van losse projecten naar regionale afspraken en van kennis naar uitvoering.</w:t>
      </w:r>
    </w:p>
    <w:p>
      <w:r>
        <w:t>Het centrale advies aan GMR is om de implementatie van bestaand beleid te versnellen door HNN regionaal te verankeren, corporaties te gebruiken als launching customer, een materialen- en kennisatlas te ontwikkelen en een regionale coalitie te vormen die de bouwketen verbindt. Daarmee kan GMR niet alleen bijdragen aan de eigen Woondeal- en duurzaamheidsdoelen, maar ook uitgroeien tot voorbeeldregio voor biobased en circulaire woningbouw in Nederland.</w:t>
      </w:r>
    </w:p>
    <w:p>
      <w:pPr>
        <w:pStyle w:val="Heading1"/>
      </w:pPr>
      <w:r>
        <w:t>Bronnenlijst</w:t>
      </w:r>
    </w:p>
    <w:p>
      <w:pPr>
        <w:pStyle w:val="ListBullet"/>
      </w:pPr>
      <w:r>
        <w:t>Whitepaper GMR / projectpaper: projectdefinitie biobased bouwen GMR, inclusief doel, scope en stakeholders.</w:t>
      </w:r>
    </w:p>
    <w:p>
      <w:pPr>
        <w:pStyle w:val="ListBullet"/>
      </w:pPr>
      <w:r>
        <w:t>GMR Trendanalyse - Biobased &amp; Circulaire Bouw, 9 juni 2026: dashboard met 10 trends en indicatoren.</w:t>
      </w:r>
    </w:p>
    <w:p>
      <w:pPr>
        <w:pStyle w:val="ListBullet"/>
      </w:pPr>
      <w:r>
        <w:t>Interviews 2026: BAM Wonen (Tom Stolker), Van Wijnen, Klokgroep, Talis, Gemeente Nijmegen en Provincie Gelderland.</w:t>
      </w:r>
    </w:p>
    <w:p>
      <w:pPr>
        <w:pStyle w:val="ListBullet"/>
      </w:pPr>
      <w:r>
        <w:t>Het Nieuwe Normaal: Leidraad Nieuwbouw 1.2, Onderbouwing HNN 1.0, Handreiking aanbesteden met HNN, Juridische toetsing HNN.</w:t>
      </w:r>
    </w:p>
    <w:p>
      <w:pPr>
        <w:pStyle w:val="ListBullet"/>
      </w:pPr>
      <w:r>
        <w:t>Nationale Aanpak Biobased Bouwen en GMR-onderzoeken over areaal, volume, beleid, hybride bouwen en MPG.</w:t>
      </w:r>
    </w:p>
    <w:p>
      <w:pPr>
        <w:pStyle w:val="ListBullet"/>
      </w:pPr>
      <w:r>
        <w:t>Woningconcepten en hun prestaties 2023/2024: vergelijking van prefab, biobased en circulaire woningconcepten.</w:t>
      </w:r>
    </w:p>
    <w:p>
      <w:pPr>
        <w:pStyle w:val="ListBullet"/>
      </w:pPr>
      <w:r>
        <w:t>ING Strategy Paper Biobased (land)bouw, Building Balance kennisdossier en WeGrow-notitie over ketenvorming.</w:t>
      </w:r>
    </w:p>
    <w:p>
      <w:pPr>
        <w:pStyle w:val="ListBullet"/>
      </w:pPr>
      <w:r>
        <w:t>Marktonderzoek Nederlandse carbon credits, Climate Cleanup Protocol en EU technical assessment over biogene koolstofopslag.</w:t>
      </w:r>
    </w:p>
    <w:p>
      <w:pPr>
        <w:pStyle w:val="ListBullet"/>
      </w:pPr>
      <w:r>
        <w:t>SER-advies Werken aan veranderkracht en overige documenten over arbeidsmarkt, regelgeving en standaardisatie.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GMR Adviesrapport - Karam Rihmani &amp; Berend Dirken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